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60"/>
        <w:jc w:val="center"/>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黔东南州民族医药研究院</w:t>
      </w:r>
      <w:r>
        <w:rPr>
          <w:rFonts w:ascii="宋体" w:hAnsi="宋体" w:eastAsia="宋体" w:cs="宋体"/>
          <w:b/>
          <w:color w:val="000000" w:themeColor="text1"/>
          <w:sz w:val="28"/>
          <w:szCs w:val="28"/>
          <w14:textFill>
            <w14:solidFill>
              <w14:schemeClr w14:val="tx1"/>
            </w14:solidFill>
          </w14:textFill>
        </w:rPr>
        <w:t>绩效方案招标条件及评分细则</w:t>
      </w:r>
    </w:p>
    <w:p>
      <w:pPr>
        <w:spacing w:before="160"/>
        <w:jc w:val="center"/>
        <w:rPr>
          <w:rFonts w:hint="eastAsia" w:ascii="宋体" w:hAnsi="宋体" w:eastAsia="宋体" w:cs="宋体"/>
          <w:b/>
          <w:color w:val="000000" w:themeColor="text1"/>
          <w:sz w:val="28"/>
          <w:szCs w:val="28"/>
          <w14:textFill>
            <w14:solidFill>
              <w14:schemeClr w14:val="tx1"/>
            </w14:solidFill>
          </w14:textFill>
        </w:rPr>
      </w:pPr>
    </w:p>
    <w:p>
      <w:pPr>
        <w:numPr>
          <w:ilvl w:val="0"/>
          <w:numId w:val="1"/>
        </w:numPr>
        <w:spacing w:before="160"/>
        <w:jc w:val="left"/>
        <w:rPr>
          <w:rFonts w:hint="eastAsia" w:ascii="宋体" w:hAnsi="宋体" w:eastAsia="宋体" w:cs="宋体"/>
          <w:bCs/>
          <w:color w:val="000000" w:themeColor="text1"/>
          <w:sz w:val="24"/>
          <w:szCs w:val="24"/>
          <w14:textFill>
            <w14:solidFill>
              <w14:schemeClr w14:val="tx1"/>
            </w14:solidFill>
          </w14:textFill>
        </w:rPr>
      </w:pPr>
      <w:r>
        <w:rPr>
          <w:rFonts w:ascii="宋体" w:hAnsi="宋体" w:eastAsia="宋体" w:cs="宋体"/>
          <w:b/>
          <w:color w:val="000000" w:themeColor="text1"/>
          <w:sz w:val="24"/>
          <w14:textFill>
            <w14:solidFill>
              <w14:schemeClr w14:val="tx1"/>
            </w14:solidFill>
          </w14:textFill>
        </w:rPr>
        <w:t>招标项目名称</w:t>
      </w:r>
      <w:r>
        <w:rPr>
          <w:color w:val="000000" w:themeColor="text1"/>
          <w14:textFill>
            <w14:solidFill>
              <w14:schemeClr w14:val="tx1"/>
            </w14:solidFill>
          </w14:textFill>
        </w:rPr>
        <w:br w:type="textWrapping"/>
      </w:r>
      <w:r>
        <w:rPr>
          <w:rFonts w:hint="eastAsia" w:ascii="宋体" w:hAnsi="宋体" w:eastAsia="宋体" w:cs="宋体"/>
          <w:bCs/>
          <w:color w:val="000000" w:themeColor="text1"/>
          <w:sz w:val="24"/>
          <w:szCs w:val="24"/>
          <w14:textFill>
            <w14:solidFill>
              <w14:schemeClr w14:val="tx1"/>
            </w14:solidFill>
          </w14:textFill>
        </w:rPr>
        <w:t>黔东南州民族医药研究院</w:t>
      </w:r>
      <w:r>
        <w:rPr>
          <w:rFonts w:ascii="宋体" w:hAnsi="宋体" w:eastAsia="宋体" w:cs="宋体"/>
          <w:bCs/>
          <w:color w:val="000000" w:themeColor="text1"/>
          <w:sz w:val="24"/>
          <w:szCs w:val="24"/>
          <w14:textFill>
            <w14:solidFill>
              <w14:schemeClr w14:val="tx1"/>
            </w14:solidFill>
          </w14:textFill>
        </w:rPr>
        <w:t>绩效方案绩效方案设计与实施服务招标</w:t>
      </w:r>
    </w:p>
    <w:p>
      <w:pPr>
        <w:spacing w:before="160"/>
        <w:jc w:val="left"/>
        <w:rPr>
          <w:rFonts w:hint="eastAsia" w:ascii="宋体" w:hAnsi="宋体" w:eastAsia="宋体" w:cs="宋体"/>
          <w:bCs/>
          <w:color w:val="000000" w:themeColor="text1"/>
          <w:sz w:val="24"/>
          <w:szCs w:val="24"/>
          <w14:textFill>
            <w14:solidFill>
              <w14:schemeClr w14:val="tx1"/>
            </w14:solidFill>
          </w14:textFill>
        </w:rPr>
      </w:pPr>
    </w:p>
    <w:p>
      <w:pPr>
        <w:spacing w:before="160"/>
        <w:jc w:val="left"/>
        <w:rPr>
          <w:rFonts w:hint="eastAsia"/>
          <w:color w:val="000000" w:themeColor="text1"/>
          <w:sz w:val="24"/>
          <w14:textFill>
            <w14:solidFill>
              <w14:schemeClr w14:val="tx1"/>
            </w14:solidFill>
          </w14:textFill>
        </w:rPr>
      </w:pPr>
      <w:r>
        <w:rPr>
          <w:rFonts w:ascii="宋体" w:hAnsi="宋体" w:eastAsia="宋体" w:cs="宋体"/>
          <w:b/>
          <w:color w:val="000000" w:themeColor="text1"/>
          <w:sz w:val="24"/>
          <w:highlight w:val="yellow"/>
          <w14:textFill>
            <w14:solidFill>
              <w14:schemeClr w14:val="tx1"/>
            </w14:solidFill>
          </w14:textFill>
        </w:rPr>
        <w:t>二、招标条件（投标人资格要求）</w:t>
      </w:r>
    </w:p>
    <w:p>
      <w:pPr>
        <w:spacing w:before="160"/>
        <w:jc w:val="left"/>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1、具有独立承担民事责任的能力：有效的法人或者其他组织的营业执照等证明文件；</w:t>
      </w:r>
    </w:p>
    <w:p>
      <w:pPr>
        <w:spacing w:before="160"/>
        <w:jc w:val="left"/>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2、具有良好的商业信誉和健全的财务会计制度：提供经审计的2024年度财务审计报告（本年度新成立或成立不满一年的组织无法提供财务审计报告的，可提供财务报表）；</w:t>
      </w:r>
    </w:p>
    <w:p>
      <w:pPr>
        <w:spacing w:before="160"/>
        <w:jc w:val="left"/>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3、具有履行合同所必须的设备和专业技术能力：提供承诺书（格式自拟）；</w:t>
      </w:r>
    </w:p>
    <w:p>
      <w:pPr>
        <w:spacing w:before="160"/>
        <w:jc w:val="left"/>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4、具有依法缴纳税收和社会保障资金的良好记录：提供供应商近半年任意三个月依法纳税凭证和缴纳社会保障资金的证明材料。依法免税或不需要缴纳社会保障资金的供应商，应提供相应证明材料；</w:t>
      </w:r>
    </w:p>
    <w:p>
      <w:pPr>
        <w:spacing w:before="160"/>
        <w:jc w:val="left"/>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5、提供参加政府采购活动前 3 年内在经营活动中没有重大违法记录的书面声明（格式自拟）；</w:t>
      </w:r>
    </w:p>
    <w:p>
      <w:pPr>
        <w:spacing w:before="160"/>
        <w:jc w:val="left"/>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法律、行政法规规定的其他条件：根据财政部文件财库〔2016〕125号通知,对列入失信被执行人、重大税收违法案件当事人名单、政府采购严重违法失信行为记录名单且还在执行期的供应商，拒绝其参与本次采购活动。查询渠道 ：信用中国网站（www.creditchina.gov.cn）、中国政府采购网（www.ccgp.gov.cn）</w:t>
      </w:r>
    </w:p>
    <w:p>
      <w:pPr>
        <w:spacing w:before="160"/>
        <w:jc w:val="left"/>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7、联合体投标：本项目不接受联合体投标。</w:t>
      </w:r>
    </w:p>
    <w:p>
      <w:pPr>
        <w:spacing w:before="160"/>
        <w:jc w:val="left"/>
        <w:rPr>
          <w:rFonts w:hint="eastAsia"/>
          <w:color w:val="000000" w:themeColor="text1"/>
          <w:sz w:val="24"/>
          <w14:textFill>
            <w14:solidFill>
              <w14:schemeClr w14:val="tx1"/>
            </w14:solidFill>
          </w14:textFill>
        </w:rPr>
      </w:pPr>
    </w:p>
    <w:p>
      <w:pPr>
        <w:spacing w:before="160"/>
        <w:jc w:val="left"/>
        <w:rPr>
          <w:rFonts w:hint="eastAsia"/>
          <w:color w:val="000000" w:themeColor="text1"/>
          <w:sz w:val="24"/>
          <w14:textFill>
            <w14:solidFill>
              <w14:schemeClr w14:val="tx1"/>
            </w14:solidFill>
          </w14:textFill>
        </w:rPr>
      </w:pPr>
      <w:r>
        <w:rPr>
          <w:rFonts w:ascii="宋体" w:hAnsi="宋体" w:eastAsia="宋体" w:cs="宋体"/>
          <w:b/>
          <w:color w:val="000000" w:themeColor="text1"/>
          <w:sz w:val="24"/>
          <w14:textFill>
            <w14:solidFill>
              <w14:schemeClr w14:val="tx1"/>
            </w14:solidFill>
          </w14:textFill>
        </w:rPr>
        <w:t>三、招标内容及要求</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1、医院绩效方案的设计与实施</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（1）财务收支预算与盈亏平衡分析，及全成本核算；</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（2）绩效方案的设计；</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（3）制定科室二次分配方案；</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（4）指导绩效管理方案的实施；</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（5）对制定绩效管理方案相关情况进行培训、答疑。</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2、制定医院质量管理考核实施方案</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（1）制定二级医院绩效考核体系及指标（包含临床、医技、药剂、行政）；</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（2）制定临床、医技等相关科室对行政后勤科室满意度评价。</w:t>
      </w:r>
    </w:p>
    <w:p>
      <w:pPr>
        <w:spacing w:before="16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医院管理相关培训及绩效相关网络在线教学课程</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3、咨询服务形式及时间</w:t>
      </w:r>
    </w:p>
    <w:p>
      <w:pPr>
        <w:spacing w:before="160"/>
        <w:jc w:val="left"/>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集中服务期50天，</w:t>
      </w:r>
      <w:r>
        <w:rPr>
          <w:rFonts w:hint="eastAsia" w:ascii="宋体" w:hAnsi="宋体" w:eastAsia="宋体" w:cs="宋体"/>
          <w:color w:val="000000" w:themeColor="text1"/>
          <w:sz w:val="24"/>
          <w:lang w:val="en-US" w:eastAsia="zh-CN"/>
          <w14:textFill>
            <w14:solidFill>
              <w14:schemeClr w14:val="tx1"/>
            </w14:solidFill>
          </w14:textFill>
        </w:rPr>
        <w:t>指导方案正常实施运营，</w:t>
      </w:r>
      <w:r>
        <w:rPr>
          <w:rFonts w:hint="eastAsia" w:ascii="宋体" w:hAnsi="宋体" w:eastAsia="宋体" w:cs="宋体"/>
          <w:color w:val="000000" w:themeColor="text1"/>
          <w:sz w:val="24"/>
          <w14:textFill>
            <w14:solidFill>
              <w14:schemeClr w14:val="tx1"/>
            </w14:solidFill>
          </w14:textFill>
        </w:rPr>
        <w:t>驻地期间的交通、食宿费由医院承担</w:t>
      </w:r>
      <w:r>
        <w:rPr>
          <w:rFonts w:hint="eastAsia" w:ascii="宋体" w:hAnsi="宋体" w:eastAsia="宋体" w:cs="宋体"/>
          <w:color w:val="000000" w:themeColor="text1"/>
          <w:sz w:val="24"/>
          <w:lang w:eastAsia="zh-CN"/>
          <w14:textFill>
            <w14:solidFill>
              <w14:schemeClr w14:val="tx1"/>
            </w14:solidFill>
          </w14:textFill>
        </w:rPr>
        <w:t>，</w:t>
      </w:r>
    </w:p>
    <w:p>
      <w:pPr>
        <w:pStyle w:val="8"/>
        <w:spacing w:line="440" w:lineRule="exact"/>
        <w:ind w:firstLine="640"/>
        <w:jc w:val="left"/>
        <w:rPr>
          <w:rFonts w:hint="eastAsia" w:ascii="仿宋" w:hAnsi="仿宋" w:eastAsia="仿宋" w:cs="仿宋"/>
          <w:color w:val="000000" w:themeColor="text1"/>
          <w:sz w:val="32"/>
          <w:szCs w:val="32"/>
          <w14:textFill>
            <w14:solidFill>
              <w14:schemeClr w14:val="tx1"/>
            </w14:solidFill>
          </w14:textFill>
        </w:rPr>
      </w:pPr>
    </w:p>
    <w:p>
      <w:pPr>
        <w:spacing w:before="160"/>
        <w:jc w:val="left"/>
        <w:rPr>
          <w:rFonts w:hint="eastAsia"/>
          <w:color w:val="000000" w:themeColor="text1"/>
          <w:sz w:val="24"/>
          <w14:textFill>
            <w14:solidFill>
              <w14:schemeClr w14:val="tx1"/>
            </w14:solidFill>
          </w14:textFill>
        </w:rPr>
      </w:pPr>
      <w:r>
        <w:rPr>
          <w:rFonts w:ascii="宋体" w:hAnsi="宋体" w:eastAsia="宋体" w:cs="宋体"/>
          <w:b/>
          <w:color w:val="000000" w:themeColor="text1"/>
          <w:sz w:val="24"/>
          <w:highlight w:val="yellow"/>
          <w14:textFill>
            <w14:solidFill>
              <w14:schemeClr w14:val="tx1"/>
            </w14:solidFill>
          </w14:textFill>
        </w:rPr>
        <w:t>四、评分细则（总分</w:t>
      </w:r>
      <w:r>
        <w:rPr>
          <w:rFonts w:hint="eastAsia" w:ascii="宋体" w:hAnsi="宋体" w:eastAsia="宋体" w:cs="宋体"/>
          <w:b/>
          <w:color w:val="000000" w:themeColor="text1"/>
          <w:sz w:val="24"/>
          <w:highlight w:val="yellow"/>
          <w14:textFill>
            <w14:solidFill>
              <w14:schemeClr w14:val="tx1"/>
            </w14:solidFill>
          </w14:textFill>
        </w:rPr>
        <w:t>100</w:t>
      </w:r>
      <w:r>
        <w:rPr>
          <w:rFonts w:ascii="宋体" w:hAnsi="宋体" w:eastAsia="宋体" w:cs="宋体"/>
          <w:b/>
          <w:color w:val="000000" w:themeColor="text1"/>
          <w:sz w:val="24"/>
          <w:highlight w:val="yellow"/>
          <w14:textFill>
            <w14:solidFill>
              <w14:schemeClr w14:val="tx1"/>
            </w14:solidFill>
          </w14:textFill>
        </w:rPr>
        <w:t>分）</w:t>
      </w:r>
      <w:r>
        <w:rPr>
          <w:color w:val="000000" w:themeColor="text1"/>
          <w14:textFill>
            <w14:solidFill>
              <w14:schemeClr w14:val="tx1"/>
            </w14:solidFill>
          </w14:textFill>
        </w:rPr>
        <w:br w:type="textWrapping"/>
      </w:r>
      <w:r>
        <w:rPr>
          <w:rFonts w:ascii="宋体" w:hAnsi="宋体" w:eastAsia="宋体" w:cs="宋体"/>
          <w:color w:val="000000" w:themeColor="text1"/>
          <w:sz w:val="24"/>
          <w14:textFill>
            <w14:solidFill>
              <w14:schemeClr w14:val="tx1"/>
            </w14:solidFill>
          </w14:textFill>
        </w:rPr>
        <w:t>以下评分项及分值分配仅为示例，可根据实际调整：</w:t>
      </w:r>
    </w:p>
    <w:tbl>
      <w:tblPr>
        <w:tblStyle w:val="14"/>
        <w:tblW w:w="949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1"/>
        <w:gridCol w:w="1134"/>
        <w:gridCol w:w="72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jc w:val="center"/>
        </w:trPr>
        <w:tc>
          <w:tcPr>
            <w:tcW w:w="2265" w:type="dxa"/>
            <w:gridSpan w:val="2"/>
            <w:tcBorders>
              <w:top w:val="single" w:color="000000" w:sz="2" w:space="0"/>
              <w:left w:val="single" w:color="000000" w:sz="2" w:space="0"/>
              <w:bottom w:val="single" w:color="auto" w:sz="4" w:space="0"/>
              <w:right w:val="single" w:color="000000" w:sz="2" w:space="0"/>
            </w:tcBorders>
            <w:vAlign w:val="center"/>
          </w:tcPr>
          <w:p>
            <w:pPr>
              <w:spacing w:line="420" w:lineRule="exact"/>
              <w:jc w:val="center"/>
              <w:rPr>
                <w:rFonts w:hint="eastAsia" w:ascii="宋体" w:hAnsi="宋体" w:eastAsia="宋体" w:cs="Times New Roman"/>
                <w:b/>
                <w:bCs/>
                <w:color w:val="000000" w:themeColor="text1"/>
                <w:sz w:val="20"/>
                <w:szCs w:val="20"/>
                <w14:textFill>
                  <w14:solidFill>
                    <w14:schemeClr w14:val="tx1"/>
                  </w14:solidFill>
                </w14:textFill>
              </w:rPr>
            </w:pPr>
            <w:r>
              <w:rPr>
                <w:rFonts w:hint="eastAsia" w:ascii="宋体" w:hAnsi="宋体" w:eastAsia="宋体" w:cs="Times New Roman"/>
                <w:b/>
                <w:bCs/>
                <w:color w:val="000000" w:themeColor="text1"/>
                <w:spacing w:val="-1"/>
                <w:sz w:val="20"/>
                <w:szCs w:val="20"/>
                <w14:textFill>
                  <w14:solidFill>
                    <w14:schemeClr w14:val="tx1"/>
                  </w14:solidFill>
                </w14:textFill>
              </w:rPr>
              <w:t>评分项目</w:t>
            </w:r>
          </w:p>
        </w:tc>
        <w:tc>
          <w:tcPr>
            <w:tcW w:w="7230" w:type="dxa"/>
            <w:tcBorders>
              <w:top w:val="single" w:color="000000" w:sz="2" w:space="0"/>
              <w:left w:val="single" w:color="000000" w:sz="2" w:space="0"/>
              <w:bottom w:val="single" w:color="auto" w:sz="4" w:space="0"/>
              <w:right w:val="single" w:color="000000" w:sz="2" w:space="0"/>
            </w:tcBorders>
            <w:vAlign w:val="center"/>
          </w:tcPr>
          <w:p>
            <w:pPr>
              <w:spacing w:line="420" w:lineRule="exact"/>
              <w:jc w:val="center"/>
              <w:rPr>
                <w:rFonts w:hint="eastAsia" w:ascii="宋体" w:hAnsi="宋体" w:eastAsia="宋体" w:cs="Times New Roman"/>
                <w:b/>
                <w:bCs/>
                <w:color w:val="000000" w:themeColor="text1"/>
                <w:sz w:val="20"/>
                <w:szCs w:val="20"/>
                <w14:textFill>
                  <w14:solidFill>
                    <w14:schemeClr w14:val="tx1"/>
                  </w14:solidFill>
                </w14:textFill>
              </w:rPr>
            </w:pPr>
            <w:r>
              <w:rPr>
                <w:rFonts w:hint="eastAsia" w:ascii="宋体" w:hAnsi="宋体" w:eastAsia="宋体" w:cs="Times New Roman"/>
                <w:b/>
                <w:bCs/>
                <w:color w:val="000000" w:themeColor="text1"/>
                <w:spacing w:val="-1"/>
                <w:sz w:val="20"/>
                <w:szCs w:val="20"/>
                <w14:textFill>
                  <w14:solidFill>
                    <w14:schemeClr w14:val="tx1"/>
                  </w14:solidFill>
                </w14:textFill>
              </w:rPr>
              <w:t>评分细则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2265" w:type="dxa"/>
            <w:gridSpan w:val="2"/>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宋体" w:hAnsi="宋体" w:eastAsia="宋体" w:cs="Times New Roman"/>
                <w:b/>
                <w:bCs/>
                <w:color w:val="000000" w:themeColor="text1"/>
                <w:sz w:val="20"/>
                <w:szCs w:val="20"/>
                <w14:textFill>
                  <w14:solidFill>
                    <w14:schemeClr w14:val="tx1"/>
                  </w14:solidFill>
                </w14:textFill>
              </w:rPr>
            </w:pPr>
            <w:r>
              <w:rPr>
                <w:rFonts w:hint="eastAsia" w:ascii="宋体" w:hAnsi="宋体" w:eastAsia="宋体" w:cs="Times New Roman"/>
                <w:b/>
                <w:bCs/>
                <w:color w:val="000000" w:themeColor="text1"/>
                <w:spacing w:val="-4"/>
                <w:sz w:val="20"/>
                <w:szCs w:val="20"/>
                <w14:textFill>
                  <w14:solidFill>
                    <w14:schemeClr w14:val="tx1"/>
                  </w14:solidFill>
                </w14:textFill>
              </w:rPr>
              <w:t>价格分（满分1</w:t>
            </w:r>
            <w:r>
              <w:rPr>
                <w:rFonts w:ascii="宋体" w:hAnsi="宋体" w:eastAsia="宋体" w:cs="Times New Roman"/>
                <w:b/>
                <w:bCs/>
                <w:color w:val="000000" w:themeColor="text1"/>
                <w:spacing w:val="-4"/>
                <w:sz w:val="20"/>
                <w:szCs w:val="20"/>
                <w14:textFill>
                  <w14:solidFill>
                    <w14:schemeClr w14:val="tx1"/>
                  </w14:solidFill>
                </w14:textFill>
              </w:rPr>
              <w:t>0</w:t>
            </w:r>
            <w:r>
              <w:rPr>
                <w:rFonts w:hint="eastAsia" w:ascii="宋体" w:hAnsi="宋体" w:eastAsia="宋体" w:cs="Times New Roman"/>
                <w:b/>
                <w:bCs/>
                <w:color w:val="000000" w:themeColor="text1"/>
                <w:spacing w:val="-4"/>
                <w:sz w:val="20"/>
                <w:szCs w:val="20"/>
                <w14:textFill>
                  <w14:solidFill>
                    <w14:schemeClr w14:val="tx1"/>
                  </w14:solidFill>
                </w14:textFill>
              </w:rPr>
              <w:t>分）</w:t>
            </w:r>
          </w:p>
        </w:tc>
        <w:tc>
          <w:tcPr>
            <w:tcW w:w="7230" w:type="dxa"/>
            <w:tcBorders>
              <w:top w:val="single" w:color="auto" w:sz="4" w:space="0"/>
              <w:left w:val="single" w:color="auto" w:sz="4" w:space="0"/>
              <w:bottom w:val="single" w:color="auto" w:sz="4" w:space="0"/>
              <w:right w:val="single" w:color="auto" w:sz="4" w:space="0"/>
            </w:tcBorders>
            <w:vAlign w:val="center"/>
          </w:tcPr>
          <w:p>
            <w:pPr>
              <w:pStyle w:val="3"/>
              <w:spacing w:line="420" w:lineRule="exact"/>
              <w:rPr>
                <w:rFonts w:hint="eastAsia" w:hAnsi="宋体" w:eastAsia="宋体" w:cs="Times New Roman"/>
                <w:color w:val="000000" w:themeColor="text1"/>
                <w:sz w:val="20"/>
                <w14:textFill>
                  <w14:solidFill>
                    <w14:schemeClr w14:val="tx1"/>
                  </w14:solidFill>
                </w14:textFill>
              </w:rPr>
            </w:pPr>
            <w:r>
              <w:rPr>
                <w:rFonts w:hint="eastAsia" w:hAnsi="宋体" w:eastAsia="宋体" w:cs="Times New Roman"/>
                <w:color w:val="000000" w:themeColor="text1"/>
                <w:sz w:val="20"/>
                <w14:textFill>
                  <w14:solidFill>
                    <w14:schemeClr w14:val="tx1"/>
                  </w14:solidFill>
                </w14:textFill>
              </w:rPr>
              <w:t>某供应商价格得分=供应商最低磋商报价/某供应商磋商报价×</w:t>
            </w:r>
            <w:r>
              <w:rPr>
                <w:rFonts w:hAnsi="宋体" w:eastAsia="宋体" w:cs="Times New Roman"/>
                <w:color w:val="000000" w:themeColor="text1"/>
                <w:sz w:val="20"/>
                <w14:textFill>
                  <w14:solidFill>
                    <w14:schemeClr w14:val="tx1"/>
                  </w14:solidFill>
                </w14:textFill>
              </w:rPr>
              <w:t>1</w:t>
            </w:r>
            <w:r>
              <w:rPr>
                <w:rFonts w:hint="eastAsia" w:hAnsi="宋体" w:eastAsia="宋体" w:cs="Times New Roman"/>
                <w:color w:val="000000" w:themeColor="text1"/>
                <w:sz w:val="20"/>
                <w14:textFill>
                  <w14:solidFill>
                    <w14:schemeClr w14:val="tx1"/>
                  </w14:solidFill>
                </w14:textFill>
              </w:rPr>
              <w:t>0分</w:t>
            </w:r>
          </w:p>
          <w:p>
            <w:pPr>
              <w:pStyle w:val="3"/>
              <w:spacing w:line="420" w:lineRule="exact"/>
              <w:rPr>
                <w:rFonts w:hint="eastAsia" w:hAnsi="宋体" w:eastAsia="宋体" w:cs="Times New Roman"/>
                <w:b/>
                <w:bCs/>
                <w:color w:val="000000" w:themeColor="text1"/>
                <w:sz w:val="20"/>
                <w14:textFill>
                  <w14:solidFill>
                    <w14:schemeClr w14:val="tx1"/>
                  </w14:solidFill>
                </w14:textFill>
              </w:rPr>
            </w:pPr>
            <w:r>
              <w:rPr>
                <w:rFonts w:hint="eastAsia" w:hAnsi="宋体" w:eastAsia="宋体" w:cs="Times New Roman"/>
                <w:b/>
                <w:bCs/>
                <w:color w:val="000000" w:themeColor="text1"/>
                <w:sz w:val="20"/>
                <w14:textFill>
                  <w14:solidFill>
                    <w14:schemeClr w14:val="tx1"/>
                  </w14:solidFill>
                </w14:textFill>
              </w:rPr>
              <w:t>注：磋商小组认为供应商的磋商报价明显低于其他通过资格及符合性审查供应商的磋商报价，有可能影响服务质量或者不能诚信履约的，应当要求其在评标现场合理的时间内提供书面说明，必要时提交书面说明及相关证明材料(书面说明包含但不限于经过第三方审计的项目成本预算、类似低成本的案例合同及其验收报告书等相关证明材料)；供应商不能证明其磋商报价合理性的，磋商小组应当将其作为报价无效。</w:t>
            </w:r>
          </w:p>
          <w:p>
            <w:pPr>
              <w:pStyle w:val="12"/>
              <w:spacing w:line="420" w:lineRule="exact"/>
              <w:rPr>
                <w:rFonts w:hint="eastAsia" w:hAnsi="宋体"/>
                <w:color w:val="000000" w:themeColor="text1"/>
                <w:sz w:val="20"/>
                <w:szCs w:val="20"/>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1131" w:type="dxa"/>
            <w:vMerge w:val="restart"/>
            <w:tcBorders>
              <w:top w:val="single" w:color="000000" w:sz="2" w:space="0"/>
              <w:left w:val="single" w:color="auto" w:sz="4" w:space="0"/>
              <w:bottom w:val="single" w:color="000000" w:sz="2" w:space="0"/>
              <w:right w:val="single" w:color="auto" w:sz="4" w:space="0"/>
            </w:tcBorders>
            <w:vAlign w:val="center"/>
          </w:tcPr>
          <w:p>
            <w:pPr>
              <w:spacing w:line="420" w:lineRule="exact"/>
              <w:jc w:val="center"/>
              <w:rPr>
                <w:rFonts w:hint="eastAsia" w:ascii="宋体" w:hAnsi="宋体" w:eastAsia="宋体" w:cs="Times New Roman"/>
                <w:b/>
                <w:bCs/>
                <w:color w:val="000000" w:themeColor="text1"/>
                <w:sz w:val="20"/>
                <w:szCs w:val="20"/>
                <w14:textFill>
                  <w14:solidFill>
                    <w14:schemeClr w14:val="tx1"/>
                  </w14:solidFill>
                </w14:textFill>
              </w:rPr>
            </w:pPr>
            <w:r>
              <w:rPr>
                <w:rFonts w:hint="eastAsia" w:ascii="宋体" w:hAnsi="宋体" w:eastAsia="宋体" w:cs="Times New Roman"/>
                <w:b/>
                <w:bCs/>
                <w:color w:val="000000" w:themeColor="text1"/>
                <w:sz w:val="20"/>
                <w:szCs w:val="20"/>
                <w14:textFill>
                  <w14:solidFill>
                    <w14:schemeClr w14:val="tx1"/>
                  </w14:solidFill>
                </w14:textFill>
              </w:rPr>
              <w:t>技术分（满分</w:t>
            </w:r>
            <w:r>
              <w:rPr>
                <w:rFonts w:ascii="宋体" w:hAnsi="宋体" w:eastAsia="宋体" w:cs="Times New Roman"/>
                <w:b/>
                <w:bCs/>
                <w:color w:val="000000" w:themeColor="text1"/>
                <w:sz w:val="20"/>
                <w:szCs w:val="20"/>
                <w14:textFill>
                  <w14:solidFill>
                    <w14:schemeClr w14:val="tx1"/>
                  </w14:solidFill>
                </w14:textFill>
              </w:rPr>
              <w:t>75</w:t>
            </w:r>
            <w:r>
              <w:rPr>
                <w:rFonts w:hint="eastAsia" w:ascii="宋体" w:hAnsi="宋体" w:eastAsia="宋体" w:cs="Times New Roman"/>
                <w:b/>
                <w:bCs/>
                <w:color w:val="000000" w:themeColor="text1"/>
                <w:sz w:val="20"/>
                <w:szCs w:val="20"/>
                <w14:textFill>
                  <w14:solidFill>
                    <w14:schemeClr w14:val="tx1"/>
                  </w14:solidFill>
                </w14:textFill>
              </w:rPr>
              <w:t>分）</w:t>
            </w:r>
          </w:p>
        </w:tc>
        <w:tc>
          <w:tcPr>
            <w:tcW w:w="1134" w:type="dxa"/>
            <w:tcBorders>
              <w:top w:val="single" w:color="000000" w:sz="2" w:space="0"/>
              <w:left w:val="single" w:color="auto" w:sz="4" w:space="0"/>
              <w:bottom w:val="single" w:color="000000" w:sz="2" w:space="0"/>
              <w:right w:val="single" w:color="auto" w:sz="4" w:space="0"/>
            </w:tcBorders>
            <w:vAlign w:val="center"/>
          </w:tcPr>
          <w:p>
            <w:pPr>
              <w:spacing w:line="420" w:lineRule="exact"/>
              <w:jc w:val="center"/>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项目理解及重点难点分析（满分1</w:t>
            </w:r>
            <w:r>
              <w:rPr>
                <w:rFonts w:ascii="宋体" w:hAnsi="宋体" w:eastAsia="宋体" w:cs="Times New Roman"/>
                <w:color w:val="000000" w:themeColor="text1"/>
                <w:sz w:val="20"/>
                <w:szCs w:val="20"/>
                <w14:textFill>
                  <w14:solidFill>
                    <w14:schemeClr w14:val="tx1"/>
                  </w14:solidFill>
                </w14:textFill>
              </w:rPr>
              <w:t>5</w:t>
            </w:r>
            <w:r>
              <w:rPr>
                <w:rFonts w:hint="eastAsia" w:ascii="宋体" w:hAnsi="宋体" w:eastAsia="宋体" w:cs="Times New Roman"/>
                <w:color w:val="000000" w:themeColor="text1"/>
                <w:sz w:val="20"/>
                <w:szCs w:val="20"/>
                <w14:textFill>
                  <w14:solidFill>
                    <w14:schemeClr w14:val="tx1"/>
                  </w14:solidFill>
                </w14:textFill>
              </w:rPr>
              <w:t>分）</w:t>
            </w:r>
          </w:p>
        </w:tc>
        <w:tc>
          <w:tcPr>
            <w:tcW w:w="7230" w:type="dxa"/>
            <w:tcBorders>
              <w:top w:val="single" w:color="auto" w:sz="4" w:space="0"/>
              <w:left w:val="single" w:color="auto" w:sz="4" w:space="0"/>
              <w:bottom w:val="single" w:color="auto" w:sz="4" w:space="0"/>
              <w:right w:val="single" w:color="auto" w:sz="4" w:space="0"/>
            </w:tcBorders>
            <w:vAlign w:val="center"/>
          </w:tcPr>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一档（15分）：供应商对项目理解、实施重点、关键点分析清晰、透彻的；</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二档（</w:t>
            </w:r>
            <w:r>
              <w:rPr>
                <w:rFonts w:ascii="宋体" w:hAnsi="宋体" w:eastAsia="宋体" w:cs="Times New Roman"/>
                <w:color w:val="000000" w:themeColor="text1"/>
                <w:sz w:val="20"/>
                <w:szCs w:val="20"/>
                <w14:textFill>
                  <w14:solidFill>
                    <w14:schemeClr w14:val="tx1"/>
                  </w14:solidFill>
                </w14:textFill>
              </w:rPr>
              <w:t>9</w:t>
            </w:r>
            <w:r>
              <w:rPr>
                <w:rFonts w:hint="eastAsia" w:ascii="宋体" w:hAnsi="宋体" w:eastAsia="宋体" w:cs="Times New Roman"/>
                <w:color w:val="000000" w:themeColor="text1"/>
                <w:sz w:val="20"/>
                <w:szCs w:val="20"/>
                <w14:textFill>
                  <w14:solidFill>
                    <w14:schemeClr w14:val="tx1"/>
                  </w14:solidFill>
                </w14:textFill>
              </w:rPr>
              <w:t>分）：供应商对项目理解、实施重点、关键点较为清晰的；</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三档（</w:t>
            </w:r>
            <w:r>
              <w:rPr>
                <w:rFonts w:ascii="宋体" w:hAnsi="宋体" w:eastAsia="宋体" w:cs="Times New Roman"/>
                <w:color w:val="000000" w:themeColor="text1"/>
                <w:sz w:val="20"/>
                <w:szCs w:val="20"/>
                <w14:textFill>
                  <w14:solidFill>
                    <w14:schemeClr w14:val="tx1"/>
                  </w14:solidFill>
                </w14:textFill>
              </w:rPr>
              <w:t>3</w:t>
            </w:r>
            <w:r>
              <w:rPr>
                <w:rFonts w:hint="eastAsia" w:ascii="宋体" w:hAnsi="宋体" w:eastAsia="宋体" w:cs="Times New Roman"/>
                <w:color w:val="000000" w:themeColor="text1"/>
                <w:sz w:val="20"/>
                <w:szCs w:val="20"/>
                <w14:textFill>
                  <w14:solidFill>
                    <w14:schemeClr w14:val="tx1"/>
                  </w14:solidFill>
                </w14:textFill>
              </w:rPr>
              <w:t>分）：供应商对项目理解、实施重点分析不够全面的；</w:t>
            </w:r>
          </w:p>
          <w:p>
            <w:pPr>
              <w:spacing w:line="420" w:lineRule="exact"/>
              <w:rPr>
                <w:rFonts w:hint="eastAsia" w:ascii="宋体" w:hAnsi="宋体" w:eastAsia="宋体" w:cs="Times New Roman"/>
                <w:b/>
                <w:bCs/>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未提供的不得分。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1131" w:type="dxa"/>
            <w:vMerge w:val="continue"/>
            <w:tcBorders>
              <w:top w:val="single" w:color="000000" w:sz="2" w:space="0"/>
              <w:left w:val="single" w:color="auto" w:sz="4" w:space="0"/>
              <w:bottom w:val="single" w:color="000000" w:sz="2" w:space="0"/>
              <w:right w:val="single" w:color="auto" w:sz="4" w:space="0"/>
            </w:tcBorders>
            <w:vAlign w:val="center"/>
          </w:tcPr>
          <w:p>
            <w:pPr>
              <w:widowControl/>
              <w:spacing w:line="420" w:lineRule="exact"/>
              <w:jc w:val="left"/>
              <w:rPr>
                <w:rFonts w:hint="eastAsia" w:ascii="宋体" w:hAnsi="宋体" w:eastAsia="宋体" w:cs="Times New Roman"/>
                <w:b/>
                <w:bCs/>
                <w:color w:val="000000" w:themeColor="text1"/>
                <w:sz w:val="20"/>
                <w:szCs w:val="20"/>
                <w14:textFill>
                  <w14:solidFill>
                    <w14:schemeClr w14:val="tx1"/>
                  </w14:solidFill>
                </w14:textFill>
              </w:rPr>
            </w:pPr>
          </w:p>
        </w:tc>
        <w:tc>
          <w:tcPr>
            <w:tcW w:w="1134" w:type="dxa"/>
            <w:tcBorders>
              <w:top w:val="single" w:color="000000" w:sz="2" w:space="0"/>
              <w:left w:val="single" w:color="auto" w:sz="4" w:space="0"/>
              <w:bottom w:val="single" w:color="000000" w:sz="2" w:space="0"/>
              <w:right w:val="single" w:color="auto" w:sz="4" w:space="0"/>
            </w:tcBorders>
            <w:vAlign w:val="center"/>
          </w:tcPr>
          <w:p>
            <w:pPr>
              <w:spacing w:line="420" w:lineRule="exact"/>
              <w:jc w:val="center"/>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实施方案（满分3</w:t>
            </w:r>
            <w:r>
              <w:rPr>
                <w:rFonts w:ascii="宋体" w:hAnsi="宋体" w:eastAsia="宋体" w:cs="Times New Roman"/>
                <w:color w:val="000000" w:themeColor="text1"/>
                <w:sz w:val="20"/>
                <w:szCs w:val="20"/>
                <w14:textFill>
                  <w14:solidFill>
                    <w14:schemeClr w14:val="tx1"/>
                  </w14:solidFill>
                </w14:textFill>
              </w:rPr>
              <w:t>0</w:t>
            </w:r>
            <w:r>
              <w:rPr>
                <w:rFonts w:hint="eastAsia" w:ascii="宋体" w:hAnsi="宋体" w:eastAsia="宋体" w:cs="Times New Roman"/>
                <w:color w:val="000000" w:themeColor="text1"/>
                <w:sz w:val="20"/>
                <w:szCs w:val="20"/>
                <w14:textFill>
                  <w14:solidFill>
                    <w14:schemeClr w14:val="tx1"/>
                  </w14:solidFill>
                </w14:textFill>
              </w:rPr>
              <w:t>分）</w:t>
            </w:r>
          </w:p>
        </w:tc>
        <w:tc>
          <w:tcPr>
            <w:tcW w:w="7230" w:type="dxa"/>
            <w:tcBorders>
              <w:top w:val="single" w:color="auto" w:sz="4" w:space="0"/>
              <w:left w:val="single" w:color="auto" w:sz="4" w:space="0"/>
              <w:bottom w:val="single" w:color="auto" w:sz="4" w:space="0"/>
              <w:right w:val="single" w:color="auto" w:sz="4" w:space="0"/>
            </w:tcBorders>
            <w:vAlign w:val="center"/>
          </w:tcPr>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一档（</w:t>
            </w:r>
            <w:r>
              <w:rPr>
                <w:rFonts w:ascii="宋体" w:hAnsi="宋体" w:eastAsia="宋体" w:cs="Times New Roman"/>
                <w:color w:val="000000" w:themeColor="text1"/>
                <w:sz w:val="20"/>
                <w:szCs w:val="20"/>
                <w14:textFill>
                  <w14:solidFill>
                    <w14:schemeClr w14:val="tx1"/>
                  </w14:solidFill>
                </w14:textFill>
              </w:rPr>
              <w:t>30</w:t>
            </w:r>
            <w:r>
              <w:rPr>
                <w:rFonts w:hint="eastAsia" w:ascii="宋体" w:hAnsi="宋体" w:eastAsia="宋体" w:cs="Times New Roman"/>
                <w:color w:val="000000" w:themeColor="text1"/>
                <w:sz w:val="20"/>
                <w:szCs w:val="20"/>
                <w14:textFill>
                  <w14:solidFill>
                    <w14:schemeClr w14:val="tx1"/>
                  </w14:solidFill>
                </w14:textFill>
              </w:rPr>
              <w:t xml:space="preserve">分）：实施方案条理清晰、内容编制完整、科学、合理、可操作性强；工作程序及方法、组织计划和措施的可操作性、现场实施性和针对性阐述完整、合理、可行的； </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二档（</w:t>
            </w:r>
            <w:r>
              <w:rPr>
                <w:rFonts w:ascii="宋体" w:hAnsi="宋体" w:eastAsia="宋体" w:cs="Times New Roman"/>
                <w:color w:val="000000" w:themeColor="text1"/>
                <w:sz w:val="20"/>
                <w:szCs w:val="20"/>
                <w14:textFill>
                  <w14:solidFill>
                    <w14:schemeClr w14:val="tx1"/>
                  </w14:solidFill>
                </w14:textFill>
              </w:rPr>
              <w:t>22</w:t>
            </w:r>
            <w:r>
              <w:rPr>
                <w:rFonts w:hint="eastAsia" w:ascii="宋体" w:hAnsi="宋体" w:eastAsia="宋体" w:cs="Times New Roman"/>
                <w:color w:val="000000" w:themeColor="text1"/>
                <w:sz w:val="20"/>
                <w:szCs w:val="20"/>
                <w14:textFill>
                  <w14:solidFill>
                    <w14:schemeClr w14:val="tx1"/>
                  </w14:solidFill>
                </w14:textFill>
              </w:rPr>
              <w:t xml:space="preserve">分）：实施方案条理清晰、内容编制良好；工作程序及方法、组织计划和措施的可操作性、现场实施性和针对性阐述完整、合理、可行的； </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三档（</w:t>
            </w:r>
            <w:r>
              <w:rPr>
                <w:rFonts w:ascii="宋体" w:hAnsi="宋体" w:eastAsia="宋体" w:cs="Times New Roman"/>
                <w:color w:val="000000" w:themeColor="text1"/>
                <w:sz w:val="20"/>
                <w:szCs w:val="20"/>
                <w14:textFill>
                  <w14:solidFill>
                    <w14:schemeClr w14:val="tx1"/>
                  </w14:solidFill>
                </w14:textFill>
              </w:rPr>
              <w:t>14</w:t>
            </w:r>
            <w:r>
              <w:rPr>
                <w:rFonts w:hint="eastAsia" w:ascii="宋体" w:hAnsi="宋体" w:eastAsia="宋体" w:cs="Times New Roman"/>
                <w:color w:val="000000" w:themeColor="text1"/>
                <w:sz w:val="20"/>
                <w:szCs w:val="20"/>
                <w14:textFill>
                  <w14:solidFill>
                    <w14:schemeClr w14:val="tx1"/>
                  </w14:solidFill>
                </w14:textFill>
              </w:rPr>
              <w:t xml:space="preserve">分）：实施方案内容编制一般；工作程序及方法、组织计划和措施的可操作性、现场实施性和针对性阐述基本完整、可行； </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四档（</w:t>
            </w:r>
            <w:r>
              <w:rPr>
                <w:rFonts w:ascii="宋体" w:hAnsi="宋体" w:eastAsia="宋体" w:cs="Times New Roman"/>
                <w:color w:val="000000" w:themeColor="text1"/>
                <w:sz w:val="20"/>
                <w:szCs w:val="20"/>
                <w14:textFill>
                  <w14:solidFill>
                    <w14:schemeClr w14:val="tx1"/>
                  </w14:solidFill>
                </w14:textFill>
              </w:rPr>
              <w:t>6</w:t>
            </w:r>
            <w:r>
              <w:rPr>
                <w:rFonts w:hint="eastAsia" w:ascii="宋体" w:hAnsi="宋体" w:eastAsia="宋体" w:cs="Times New Roman"/>
                <w:color w:val="000000" w:themeColor="text1"/>
                <w:sz w:val="20"/>
                <w:szCs w:val="20"/>
                <w14:textFill>
                  <w14:solidFill>
                    <w14:schemeClr w14:val="tx1"/>
                  </w14:solidFill>
                </w14:textFill>
              </w:rPr>
              <w:t>分）：实施方案基本可行；工作程序及方法、组织计划和措施的可操作性、现场实施性和针对性阐述有错漏或表述不清的；</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未提供的不得分。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1131" w:type="dxa"/>
            <w:vMerge w:val="continue"/>
            <w:tcBorders>
              <w:top w:val="single" w:color="000000" w:sz="2" w:space="0"/>
              <w:left w:val="single" w:color="auto" w:sz="4" w:space="0"/>
              <w:bottom w:val="single" w:color="000000" w:sz="2" w:space="0"/>
              <w:right w:val="single" w:color="auto" w:sz="4" w:space="0"/>
            </w:tcBorders>
            <w:vAlign w:val="center"/>
          </w:tcPr>
          <w:p>
            <w:pPr>
              <w:widowControl/>
              <w:spacing w:line="420" w:lineRule="exact"/>
              <w:jc w:val="left"/>
              <w:rPr>
                <w:rFonts w:hint="eastAsia" w:ascii="宋体" w:hAnsi="宋体" w:eastAsia="宋体" w:cs="Times New Roman"/>
                <w:b/>
                <w:bCs/>
                <w:color w:val="000000" w:themeColor="text1"/>
                <w:sz w:val="20"/>
                <w:szCs w:val="20"/>
                <w14:textFill>
                  <w14:solidFill>
                    <w14:schemeClr w14:val="tx1"/>
                  </w14:solidFill>
                </w14:textFill>
              </w:rPr>
            </w:pPr>
          </w:p>
        </w:tc>
        <w:tc>
          <w:tcPr>
            <w:tcW w:w="1134" w:type="dxa"/>
            <w:tcBorders>
              <w:top w:val="single" w:color="000000" w:sz="2" w:space="0"/>
              <w:left w:val="single" w:color="auto" w:sz="4" w:space="0"/>
              <w:bottom w:val="single" w:color="000000" w:sz="2" w:space="0"/>
              <w:right w:val="single" w:color="auto" w:sz="4" w:space="0"/>
            </w:tcBorders>
            <w:vAlign w:val="center"/>
          </w:tcPr>
          <w:p>
            <w:pPr>
              <w:spacing w:line="420" w:lineRule="exact"/>
              <w:jc w:val="center"/>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服务承诺（满分1</w:t>
            </w:r>
            <w:r>
              <w:rPr>
                <w:rFonts w:ascii="宋体" w:hAnsi="宋体" w:eastAsia="宋体" w:cs="Times New Roman"/>
                <w:color w:val="000000" w:themeColor="text1"/>
                <w:sz w:val="20"/>
                <w:szCs w:val="20"/>
                <w14:textFill>
                  <w14:solidFill>
                    <w14:schemeClr w14:val="tx1"/>
                  </w14:solidFill>
                </w14:textFill>
              </w:rPr>
              <w:t>0</w:t>
            </w:r>
            <w:r>
              <w:rPr>
                <w:rFonts w:hint="eastAsia" w:ascii="宋体" w:hAnsi="宋体" w:eastAsia="宋体" w:cs="Times New Roman"/>
                <w:color w:val="000000" w:themeColor="text1"/>
                <w:sz w:val="20"/>
                <w:szCs w:val="20"/>
                <w14:textFill>
                  <w14:solidFill>
                    <w14:schemeClr w14:val="tx1"/>
                  </w14:solidFill>
                </w14:textFill>
              </w:rPr>
              <w:t>分）</w:t>
            </w:r>
          </w:p>
        </w:tc>
        <w:tc>
          <w:tcPr>
            <w:tcW w:w="7230" w:type="dxa"/>
            <w:tcBorders>
              <w:top w:val="single" w:color="auto" w:sz="4" w:space="0"/>
              <w:left w:val="single" w:color="auto" w:sz="4" w:space="0"/>
              <w:bottom w:val="single" w:color="auto" w:sz="4" w:space="0"/>
              <w:right w:val="single" w:color="auto" w:sz="4" w:space="0"/>
            </w:tcBorders>
            <w:vAlign w:val="center"/>
          </w:tcPr>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一档（1</w:t>
            </w:r>
            <w:r>
              <w:rPr>
                <w:rFonts w:ascii="宋体" w:hAnsi="宋体" w:eastAsia="宋体" w:cs="Times New Roman"/>
                <w:color w:val="000000" w:themeColor="text1"/>
                <w:sz w:val="20"/>
                <w:szCs w:val="20"/>
                <w14:textFill>
                  <w14:solidFill>
                    <w14:schemeClr w14:val="tx1"/>
                  </w14:solidFill>
                </w14:textFill>
              </w:rPr>
              <w:t>0</w:t>
            </w:r>
            <w:r>
              <w:rPr>
                <w:rFonts w:hint="eastAsia" w:ascii="宋体" w:hAnsi="宋体" w:eastAsia="宋体" w:cs="Times New Roman"/>
                <w:color w:val="000000" w:themeColor="text1"/>
                <w:sz w:val="20"/>
                <w:szCs w:val="20"/>
                <w14:textFill>
                  <w14:solidFill>
                    <w14:schemeClr w14:val="tx1"/>
                  </w14:solidFill>
                </w14:textFill>
              </w:rPr>
              <w:t>分）：服务承诺内容详细，针对性强，具有较强的可操作性，能较好的满足项目需求的；</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二档（6分）：服务承诺内容基本完整，有一定的针对性、可操作性的，可满足项目需求的；</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三档（2分）：服务承诺内容不完整，针对性和可操作性一般。</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未提供的不得分。</w:t>
            </w:r>
          </w:p>
          <w:p>
            <w:pPr>
              <w:pStyle w:val="2"/>
              <w:spacing w:after="0" w:line="420" w:lineRule="exact"/>
              <w:ind w:firstLine="482"/>
              <w:rPr>
                <w:rFonts w:hint="eastAsia" w:ascii="宋体" w:hAnsi="宋体" w:eastAsia="宋体"/>
                <w:b/>
                <w:bCs/>
                <w:color w:val="000000" w:themeColor="text1"/>
                <w:sz w:val="20"/>
                <w:szCs w:val="20"/>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1131" w:type="dxa"/>
            <w:vMerge w:val="continue"/>
            <w:tcBorders>
              <w:top w:val="single" w:color="000000" w:sz="2" w:space="0"/>
              <w:left w:val="single" w:color="auto" w:sz="4" w:space="0"/>
              <w:bottom w:val="single" w:color="000000" w:sz="2" w:space="0"/>
              <w:right w:val="single" w:color="auto" w:sz="4" w:space="0"/>
            </w:tcBorders>
            <w:vAlign w:val="center"/>
          </w:tcPr>
          <w:p>
            <w:pPr>
              <w:widowControl/>
              <w:spacing w:line="420" w:lineRule="exact"/>
              <w:jc w:val="left"/>
              <w:rPr>
                <w:rFonts w:hint="eastAsia" w:ascii="宋体" w:hAnsi="宋体" w:eastAsia="宋体" w:cs="Times New Roman"/>
                <w:b/>
                <w:bCs/>
                <w:color w:val="000000" w:themeColor="text1"/>
                <w:sz w:val="20"/>
                <w:szCs w:val="20"/>
                <w14:textFill>
                  <w14:solidFill>
                    <w14:schemeClr w14:val="tx1"/>
                  </w14:solidFill>
                </w14:textFill>
              </w:rPr>
            </w:pPr>
          </w:p>
        </w:tc>
        <w:tc>
          <w:tcPr>
            <w:tcW w:w="1134" w:type="dxa"/>
            <w:tcBorders>
              <w:top w:val="single" w:color="000000" w:sz="2" w:space="0"/>
              <w:left w:val="single" w:color="auto" w:sz="4" w:space="0"/>
              <w:bottom w:val="single" w:color="000000" w:sz="2" w:space="0"/>
              <w:right w:val="single" w:color="auto" w:sz="4" w:space="0"/>
            </w:tcBorders>
            <w:vAlign w:val="center"/>
          </w:tcPr>
          <w:p>
            <w:pPr>
              <w:spacing w:line="420" w:lineRule="exact"/>
              <w:jc w:val="center"/>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服务保障（满分1</w:t>
            </w:r>
            <w:r>
              <w:rPr>
                <w:rFonts w:ascii="宋体" w:hAnsi="宋体" w:eastAsia="宋体" w:cs="Times New Roman"/>
                <w:color w:val="000000" w:themeColor="text1"/>
                <w:sz w:val="20"/>
                <w:szCs w:val="20"/>
                <w14:textFill>
                  <w14:solidFill>
                    <w14:schemeClr w14:val="tx1"/>
                  </w14:solidFill>
                </w14:textFill>
              </w:rPr>
              <w:t>0</w:t>
            </w:r>
            <w:r>
              <w:rPr>
                <w:rFonts w:hint="eastAsia" w:ascii="宋体" w:hAnsi="宋体" w:eastAsia="宋体" w:cs="Times New Roman"/>
                <w:color w:val="000000" w:themeColor="text1"/>
                <w:sz w:val="20"/>
                <w:szCs w:val="20"/>
                <w14:textFill>
                  <w14:solidFill>
                    <w14:schemeClr w14:val="tx1"/>
                  </w14:solidFill>
                </w14:textFill>
              </w:rPr>
              <w:t>分）</w:t>
            </w:r>
          </w:p>
        </w:tc>
        <w:tc>
          <w:tcPr>
            <w:tcW w:w="7230" w:type="dxa"/>
            <w:tcBorders>
              <w:top w:val="single" w:color="auto" w:sz="4" w:space="0"/>
              <w:left w:val="single" w:color="auto" w:sz="4" w:space="0"/>
              <w:bottom w:val="single" w:color="auto" w:sz="4" w:space="0"/>
              <w:right w:val="single" w:color="auto" w:sz="4" w:space="0"/>
            </w:tcBorders>
            <w:vAlign w:val="center"/>
          </w:tcPr>
          <w:p>
            <w:pPr>
              <w:spacing w:line="420" w:lineRule="exact"/>
              <w:jc w:val="lef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一档（1</w:t>
            </w:r>
            <w:r>
              <w:rPr>
                <w:rFonts w:ascii="宋体" w:hAnsi="宋体" w:eastAsia="宋体" w:cs="Times New Roman"/>
                <w:color w:val="000000" w:themeColor="text1"/>
                <w:sz w:val="20"/>
                <w:szCs w:val="20"/>
                <w14:textFill>
                  <w14:solidFill>
                    <w14:schemeClr w14:val="tx1"/>
                  </w14:solidFill>
                </w14:textFill>
              </w:rPr>
              <w:t>0</w:t>
            </w:r>
            <w:r>
              <w:rPr>
                <w:rFonts w:hint="eastAsia" w:ascii="宋体" w:hAnsi="宋体" w:eastAsia="宋体" w:cs="Times New Roman"/>
                <w:color w:val="000000" w:themeColor="text1"/>
                <w:sz w:val="20"/>
                <w:szCs w:val="20"/>
                <w14:textFill>
                  <w14:solidFill>
                    <w14:schemeClr w14:val="tx1"/>
                  </w14:solidFill>
                </w14:textFill>
              </w:rPr>
              <w:t>分）：服务质量保证措施内容详细，针对性强，具有较强的可操作性，能较好的满足项目需求的；</w:t>
            </w:r>
          </w:p>
          <w:p>
            <w:pPr>
              <w:spacing w:line="420" w:lineRule="exact"/>
              <w:jc w:val="lef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二档（6分）：服务质量保证措施内容基本完整，有一定的针对性、可操作性的，可满足项目需求；</w:t>
            </w:r>
          </w:p>
          <w:p>
            <w:pPr>
              <w:spacing w:line="420" w:lineRule="exact"/>
              <w:jc w:val="lef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三档（2分）：服务质量保证措施内容不完整，针对性和无可操作性一般的。</w:t>
            </w:r>
          </w:p>
          <w:p>
            <w:pPr>
              <w:spacing w:line="420" w:lineRule="exact"/>
              <w:jc w:val="lef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未提供的不得分。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1131" w:type="dxa"/>
            <w:vMerge w:val="continue"/>
            <w:tcBorders>
              <w:top w:val="single" w:color="000000" w:sz="2" w:space="0"/>
              <w:left w:val="single" w:color="auto" w:sz="4" w:space="0"/>
              <w:bottom w:val="single" w:color="000000" w:sz="2" w:space="0"/>
              <w:right w:val="single" w:color="auto" w:sz="4" w:space="0"/>
            </w:tcBorders>
            <w:vAlign w:val="center"/>
          </w:tcPr>
          <w:p>
            <w:pPr>
              <w:widowControl/>
              <w:spacing w:line="420" w:lineRule="exact"/>
              <w:jc w:val="left"/>
              <w:rPr>
                <w:rFonts w:hint="eastAsia" w:ascii="宋体" w:hAnsi="宋体" w:eastAsia="宋体" w:cs="Times New Roman"/>
                <w:b/>
                <w:bCs/>
                <w:color w:val="000000" w:themeColor="text1"/>
                <w:sz w:val="20"/>
                <w:szCs w:val="20"/>
                <w14:textFill>
                  <w14:solidFill>
                    <w14:schemeClr w14:val="tx1"/>
                  </w14:solidFill>
                </w14:textFill>
              </w:rPr>
            </w:pPr>
          </w:p>
        </w:tc>
        <w:tc>
          <w:tcPr>
            <w:tcW w:w="1134" w:type="dxa"/>
            <w:tcBorders>
              <w:top w:val="single" w:color="000000" w:sz="2" w:space="0"/>
              <w:left w:val="single" w:color="auto" w:sz="4" w:space="0"/>
              <w:bottom w:val="single" w:color="000000" w:sz="2" w:space="0"/>
              <w:right w:val="single" w:color="auto" w:sz="4" w:space="0"/>
            </w:tcBorders>
            <w:vAlign w:val="center"/>
          </w:tcPr>
          <w:p>
            <w:pPr>
              <w:spacing w:line="420" w:lineRule="exact"/>
              <w:jc w:val="center"/>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拟投入服务人员配置方案（满分1</w:t>
            </w:r>
            <w:r>
              <w:rPr>
                <w:rFonts w:ascii="宋体" w:hAnsi="宋体" w:eastAsia="宋体" w:cs="Times New Roman"/>
                <w:color w:val="000000" w:themeColor="text1"/>
                <w:sz w:val="20"/>
                <w:szCs w:val="20"/>
                <w14:textFill>
                  <w14:solidFill>
                    <w14:schemeClr w14:val="tx1"/>
                  </w14:solidFill>
                </w14:textFill>
              </w:rPr>
              <w:t>0</w:t>
            </w:r>
            <w:r>
              <w:rPr>
                <w:rFonts w:hint="eastAsia" w:ascii="宋体" w:hAnsi="宋体" w:eastAsia="宋体" w:cs="Times New Roman"/>
                <w:color w:val="000000" w:themeColor="text1"/>
                <w:sz w:val="20"/>
                <w:szCs w:val="20"/>
                <w14:textFill>
                  <w14:solidFill>
                    <w14:schemeClr w14:val="tx1"/>
                  </w14:solidFill>
                </w14:textFill>
              </w:rPr>
              <w:t>分）</w:t>
            </w:r>
          </w:p>
        </w:tc>
        <w:tc>
          <w:tcPr>
            <w:tcW w:w="7230" w:type="dxa"/>
            <w:tcBorders>
              <w:top w:val="single" w:color="auto" w:sz="4" w:space="0"/>
              <w:left w:val="single" w:color="auto" w:sz="4" w:space="0"/>
              <w:bottom w:val="single" w:color="auto" w:sz="4" w:space="0"/>
              <w:right w:val="single" w:color="auto" w:sz="4" w:space="0"/>
            </w:tcBorders>
            <w:vAlign w:val="center"/>
          </w:tcPr>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ascii="宋体" w:hAnsi="宋体" w:eastAsia="宋体" w:cs="Times New Roman"/>
                <w:color w:val="000000" w:themeColor="text1"/>
                <w:sz w:val="20"/>
                <w:szCs w:val="20"/>
                <w14:textFill>
                  <w14:solidFill>
                    <w14:schemeClr w14:val="tx1"/>
                  </w14:solidFill>
                </w14:textFill>
              </w:rPr>
              <w:t>1、项目负责人具有相关咨询经验，每增加1个相关咨询经验得1分，最高得4分。</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ascii="宋体" w:hAnsi="宋体" w:eastAsia="宋体" w:cs="Times New Roman"/>
                <w:color w:val="000000" w:themeColor="text1"/>
                <w:sz w:val="20"/>
                <w:szCs w:val="20"/>
                <w14:textFill>
                  <w14:solidFill>
                    <w14:schemeClr w14:val="tx1"/>
                  </w14:solidFill>
                </w14:textFill>
              </w:rPr>
              <w:t>2、拟投入本项目的项目团队成员中：</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一档（6分）：</w:t>
            </w:r>
            <w:r>
              <w:rPr>
                <w:rFonts w:ascii="宋体" w:hAnsi="宋体" w:eastAsia="宋体" w:cs="Times New Roman"/>
                <w:color w:val="000000" w:themeColor="text1"/>
                <w:sz w:val="20"/>
                <w:szCs w:val="20"/>
                <w14:textFill>
                  <w14:solidFill>
                    <w14:schemeClr w14:val="tx1"/>
                  </w14:solidFill>
                </w14:textFill>
              </w:rPr>
              <w:t>派驻项目团队成员不少于6人，且每人至少具有1个相关咨询经验得6分，最高得6分；</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二档（4分）：</w:t>
            </w:r>
            <w:r>
              <w:rPr>
                <w:rFonts w:ascii="宋体" w:hAnsi="宋体" w:eastAsia="宋体" w:cs="Times New Roman"/>
                <w:color w:val="000000" w:themeColor="text1"/>
                <w:sz w:val="20"/>
                <w:szCs w:val="20"/>
                <w14:textFill>
                  <w14:solidFill>
                    <w14:schemeClr w14:val="tx1"/>
                  </w14:solidFill>
                </w14:textFill>
              </w:rPr>
              <w:t>派驻项目团队成员不少于4人，且每人至少具有1个相关咨询经验得4分；</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三档（2分）：</w:t>
            </w:r>
            <w:r>
              <w:rPr>
                <w:rFonts w:ascii="宋体" w:hAnsi="宋体" w:eastAsia="宋体" w:cs="Times New Roman"/>
                <w:color w:val="000000" w:themeColor="text1"/>
                <w:sz w:val="20"/>
                <w:szCs w:val="20"/>
                <w14:textFill>
                  <w14:solidFill>
                    <w14:schemeClr w14:val="tx1"/>
                  </w14:solidFill>
                </w14:textFill>
              </w:rPr>
              <w:t>派驻项目团队成员不少于2人，且每人至少具有1个相关咨询经验得2分；</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注：派驻项目团队成员少于</w:t>
            </w:r>
            <w:r>
              <w:rPr>
                <w:rFonts w:ascii="宋体" w:hAnsi="宋体" w:eastAsia="宋体" w:cs="Times New Roman"/>
                <w:color w:val="000000" w:themeColor="text1"/>
                <w:sz w:val="20"/>
                <w:szCs w:val="20"/>
                <w14:textFill>
                  <w14:solidFill>
                    <w14:schemeClr w14:val="tx1"/>
                  </w14:solidFill>
                </w14:textFill>
              </w:rPr>
              <w:t>2人，本项不得分。</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本项满分</w:t>
            </w:r>
            <w:r>
              <w:rPr>
                <w:rFonts w:ascii="宋体" w:hAnsi="宋体" w:eastAsia="宋体" w:cs="Times New Roman"/>
                <w:color w:val="000000" w:themeColor="text1"/>
                <w:sz w:val="20"/>
                <w:szCs w:val="20"/>
                <w14:textFill>
                  <w14:solidFill>
                    <w14:schemeClr w14:val="tx1"/>
                  </w14:solidFill>
                </w14:textFill>
              </w:rPr>
              <w:t>10分。须提供人员相关咨询经验（以加盖公章的客户评价书扫描件作为证明材料）、投标人在职证明扫描件等相应佐证材料，未提供不得分。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1131" w:type="dxa"/>
            <w:vMerge w:val="restart"/>
            <w:tcBorders>
              <w:top w:val="single" w:color="000000" w:sz="2" w:space="0"/>
              <w:left w:val="single" w:color="auto" w:sz="4" w:space="0"/>
              <w:bottom w:val="single" w:color="000000" w:sz="2" w:space="0"/>
              <w:right w:val="single" w:color="auto" w:sz="4" w:space="0"/>
            </w:tcBorders>
            <w:vAlign w:val="center"/>
          </w:tcPr>
          <w:p>
            <w:pPr>
              <w:spacing w:line="420" w:lineRule="exact"/>
              <w:jc w:val="center"/>
              <w:rPr>
                <w:rFonts w:hint="eastAsia" w:ascii="宋体" w:hAnsi="宋体" w:eastAsia="宋体" w:cs="Times New Roman"/>
                <w:b/>
                <w:bCs/>
                <w:color w:val="000000" w:themeColor="text1"/>
                <w:sz w:val="20"/>
                <w:szCs w:val="20"/>
                <w14:textFill>
                  <w14:solidFill>
                    <w14:schemeClr w14:val="tx1"/>
                  </w14:solidFill>
                </w14:textFill>
              </w:rPr>
            </w:pPr>
            <w:r>
              <w:rPr>
                <w:rFonts w:hint="eastAsia" w:ascii="宋体" w:hAnsi="宋体" w:eastAsia="宋体" w:cs="Times New Roman"/>
                <w:b/>
                <w:bCs/>
                <w:color w:val="000000" w:themeColor="text1"/>
                <w:sz w:val="20"/>
                <w:szCs w:val="20"/>
                <w14:textFill>
                  <w14:solidFill>
                    <w14:schemeClr w14:val="tx1"/>
                  </w14:solidFill>
                </w14:textFill>
              </w:rPr>
              <w:t>商务分（满分</w:t>
            </w:r>
            <w:r>
              <w:rPr>
                <w:rFonts w:ascii="宋体" w:hAnsi="宋体" w:eastAsia="宋体" w:cs="Times New Roman"/>
                <w:b/>
                <w:bCs/>
                <w:color w:val="000000" w:themeColor="text1"/>
                <w:sz w:val="20"/>
                <w:szCs w:val="20"/>
                <w14:textFill>
                  <w14:solidFill>
                    <w14:schemeClr w14:val="tx1"/>
                  </w14:solidFill>
                </w14:textFill>
              </w:rPr>
              <w:t>1</w:t>
            </w:r>
            <w:r>
              <w:rPr>
                <w:rFonts w:hint="eastAsia" w:ascii="宋体" w:hAnsi="宋体" w:eastAsia="宋体" w:cs="Times New Roman"/>
                <w:b/>
                <w:bCs/>
                <w:color w:val="000000" w:themeColor="text1"/>
                <w:sz w:val="20"/>
                <w:szCs w:val="20"/>
                <w14:textFill>
                  <w14:solidFill>
                    <w14:schemeClr w14:val="tx1"/>
                  </w14:solidFill>
                </w14:textFill>
              </w:rPr>
              <w:t>5分）</w:t>
            </w:r>
          </w:p>
        </w:tc>
        <w:tc>
          <w:tcPr>
            <w:tcW w:w="1134" w:type="dxa"/>
            <w:tcBorders>
              <w:top w:val="single" w:color="000000" w:sz="2" w:space="0"/>
              <w:left w:val="single" w:color="auto" w:sz="4" w:space="0"/>
              <w:bottom w:val="single" w:color="000000" w:sz="2" w:space="0"/>
              <w:right w:val="single" w:color="auto" w:sz="4" w:space="0"/>
            </w:tcBorders>
            <w:vAlign w:val="center"/>
          </w:tcPr>
          <w:p>
            <w:pPr>
              <w:widowControl/>
              <w:spacing w:line="420" w:lineRule="exact"/>
              <w:jc w:val="center"/>
              <w:rPr>
                <w:rFonts w:hint="eastAsia" w:ascii="宋体" w:hAnsi="宋体" w:eastAsia="宋体" w:cs="Times New Roman"/>
                <w:color w:val="000000" w:themeColor="text1"/>
                <w:sz w:val="20"/>
                <w:szCs w:val="20"/>
                <w:lang w:bidi="ar"/>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企业业绩（满分1</w:t>
            </w:r>
            <w:r>
              <w:rPr>
                <w:rFonts w:ascii="宋体" w:hAnsi="宋体" w:eastAsia="宋体" w:cs="Times New Roman"/>
                <w:color w:val="000000" w:themeColor="text1"/>
                <w:sz w:val="20"/>
                <w:szCs w:val="20"/>
                <w14:textFill>
                  <w14:solidFill>
                    <w14:schemeClr w14:val="tx1"/>
                  </w14:solidFill>
                </w14:textFill>
              </w:rPr>
              <w:t>1</w:t>
            </w:r>
            <w:r>
              <w:rPr>
                <w:rFonts w:hint="eastAsia" w:ascii="宋体" w:hAnsi="宋体" w:eastAsia="宋体" w:cs="Times New Roman"/>
                <w:color w:val="000000" w:themeColor="text1"/>
                <w:sz w:val="20"/>
                <w:szCs w:val="20"/>
                <w14:textFill>
                  <w14:solidFill>
                    <w14:schemeClr w14:val="tx1"/>
                  </w14:solidFill>
                </w14:textFill>
              </w:rPr>
              <w:t>分）</w:t>
            </w:r>
          </w:p>
        </w:tc>
        <w:tc>
          <w:tcPr>
            <w:tcW w:w="7230" w:type="dxa"/>
            <w:tcBorders>
              <w:top w:val="single" w:color="auto" w:sz="4" w:space="0"/>
              <w:left w:val="single" w:color="auto" w:sz="4" w:space="0"/>
              <w:bottom w:val="single" w:color="auto" w:sz="4" w:space="0"/>
              <w:right w:val="single" w:color="auto" w:sz="4" w:space="0"/>
            </w:tcBorders>
            <w:vAlign w:val="center"/>
          </w:tcPr>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供应商于201</w:t>
            </w:r>
            <w:r>
              <w:rPr>
                <w:rFonts w:ascii="宋体" w:hAnsi="宋体" w:eastAsia="宋体" w:cs="Times New Roman"/>
                <w:color w:val="000000" w:themeColor="text1"/>
                <w:sz w:val="20"/>
                <w:szCs w:val="20"/>
                <w14:textFill>
                  <w14:solidFill>
                    <w14:schemeClr w14:val="tx1"/>
                  </w14:solidFill>
                </w14:textFill>
              </w:rPr>
              <w:t>9</w:t>
            </w:r>
            <w:r>
              <w:rPr>
                <w:rFonts w:hint="eastAsia" w:ascii="宋体" w:hAnsi="宋体" w:eastAsia="宋体" w:cs="Times New Roman"/>
                <w:color w:val="000000" w:themeColor="text1"/>
                <w:sz w:val="20"/>
                <w:szCs w:val="20"/>
                <w14:textFill>
                  <w14:solidFill>
                    <w14:schemeClr w14:val="tx1"/>
                  </w14:solidFill>
                </w14:textFill>
              </w:rPr>
              <w:t>年1月1日至响应文件递交截止时间止，承接过类似项目业绩的，每项业绩得1分，满</w:t>
            </w:r>
            <w:bookmarkStart w:id="0" w:name="_GoBack"/>
            <w:bookmarkEnd w:id="0"/>
            <w:r>
              <w:rPr>
                <w:rFonts w:hint="eastAsia" w:ascii="宋体" w:hAnsi="宋体" w:eastAsia="宋体" w:cs="Times New Roman"/>
                <w:color w:val="000000" w:themeColor="text1"/>
                <w:sz w:val="20"/>
                <w:szCs w:val="20"/>
                <w14:textFill>
                  <w14:solidFill>
                    <w14:schemeClr w14:val="tx1"/>
                  </w14:solidFill>
                </w14:textFill>
              </w:rPr>
              <w:t>分1</w:t>
            </w:r>
            <w:r>
              <w:rPr>
                <w:rFonts w:ascii="宋体" w:hAnsi="宋体" w:eastAsia="宋体" w:cs="Times New Roman"/>
                <w:color w:val="000000" w:themeColor="text1"/>
                <w:sz w:val="20"/>
                <w:szCs w:val="20"/>
                <w14:textFill>
                  <w14:solidFill>
                    <w14:schemeClr w14:val="tx1"/>
                  </w14:solidFill>
                </w14:textFill>
              </w:rPr>
              <w:t>1</w:t>
            </w:r>
            <w:r>
              <w:rPr>
                <w:rFonts w:hint="eastAsia" w:ascii="宋体" w:hAnsi="宋体" w:eastAsia="宋体" w:cs="Times New Roman"/>
                <w:color w:val="000000" w:themeColor="text1"/>
                <w:sz w:val="20"/>
                <w:szCs w:val="20"/>
                <w14:textFill>
                  <w14:solidFill>
                    <w14:schemeClr w14:val="tx1"/>
                  </w14:solidFill>
                </w14:textFill>
              </w:rPr>
              <w:t>分。</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注：</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w:t>
            </w:r>
            <w:r>
              <w:rPr>
                <w:rFonts w:ascii="宋体" w:hAnsi="宋体" w:eastAsia="宋体" w:cs="Times New Roman"/>
                <w:color w:val="000000" w:themeColor="text1"/>
                <w:sz w:val="20"/>
                <w:szCs w:val="20"/>
                <w14:textFill>
                  <w14:solidFill>
                    <w14:schemeClr w14:val="tx1"/>
                  </w14:solidFill>
                </w14:textFill>
              </w:rPr>
              <w:t>1）业绩证明材料以合同协议书、中标（成交）通知书和中标（成交）公示网页截图为准（三者缺一不可）。</w:t>
            </w:r>
          </w:p>
          <w:p>
            <w:pPr>
              <w:spacing w:line="420" w:lineRule="exact"/>
              <w:rPr>
                <w:rFonts w:hint="eastAsia" w:ascii="宋体" w:hAnsi="宋体" w:eastAsia="宋体" w:cs="Times New Roman"/>
                <w:b/>
                <w:bCs/>
                <w:color w:val="000000" w:themeColor="text1"/>
                <w:sz w:val="20"/>
                <w:szCs w:val="20"/>
                <w:lang w:bidi="ar"/>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w:t>
            </w:r>
            <w:r>
              <w:rPr>
                <w:rFonts w:ascii="宋体" w:hAnsi="宋体" w:eastAsia="宋体" w:cs="Times New Roman"/>
                <w:color w:val="000000" w:themeColor="text1"/>
                <w:sz w:val="20"/>
                <w:szCs w:val="20"/>
                <w14:textFill>
                  <w14:solidFill>
                    <w14:schemeClr w14:val="tx1"/>
                  </w14:solidFill>
                </w14:textFill>
              </w:rPr>
              <w:t>2）类似业绩指医疗机构经营管理咨询服务业绩。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1131" w:type="dxa"/>
            <w:vMerge w:val="continue"/>
            <w:tcBorders>
              <w:top w:val="single" w:color="000000" w:sz="2" w:space="0"/>
              <w:left w:val="single" w:color="auto" w:sz="4" w:space="0"/>
              <w:bottom w:val="single" w:color="000000" w:sz="2" w:space="0"/>
              <w:right w:val="single" w:color="auto" w:sz="4" w:space="0"/>
            </w:tcBorders>
            <w:vAlign w:val="center"/>
          </w:tcPr>
          <w:p>
            <w:pPr>
              <w:widowControl/>
              <w:spacing w:line="420" w:lineRule="exact"/>
              <w:jc w:val="left"/>
              <w:rPr>
                <w:rFonts w:hint="eastAsia" w:ascii="宋体" w:hAnsi="宋体" w:eastAsia="宋体" w:cs="Times New Roman"/>
                <w:b/>
                <w:bCs/>
                <w:color w:val="000000" w:themeColor="text1"/>
                <w:sz w:val="20"/>
                <w:szCs w:val="20"/>
                <w14:textFill>
                  <w14:solidFill>
                    <w14:schemeClr w14:val="tx1"/>
                  </w14:solidFill>
                </w14:textFill>
              </w:rPr>
            </w:pPr>
          </w:p>
        </w:tc>
        <w:tc>
          <w:tcPr>
            <w:tcW w:w="1134" w:type="dxa"/>
            <w:tcBorders>
              <w:top w:val="single" w:color="000000" w:sz="2" w:space="0"/>
              <w:left w:val="single" w:color="auto" w:sz="4" w:space="0"/>
              <w:bottom w:val="single" w:color="000000" w:sz="2" w:space="0"/>
              <w:right w:val="single" w:color="auto" w:sz="4" w:space="0"/>
            </w:tcBorders>
            <w:vAlign w:val="center"/>
          </w:tcPr>
          <w:p>
            <w:pPr>
              <w:widowControl/>
              <w:spacing w:line="420" w:lineRule="exact"/>
              <w:jc w:val="center"/>
              <w:rPr>
                <w:rFonts w:hint="eastAsia" w:ascii="宋体" w:hAnsi="宋体" w:eastAsia="宋体" w:cs="Times New Roman"/>
                <w:color w:val="000000" w:themeColor="text1"/>
                <w:sz w:val="20"/>
                <w:szCs w:val="20"/>
                <w:lang w:bidi="ar"/>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公司实力（满分4分）</w:t>
            </w:r>
          </w:p>
        </w:tc>
        <w:tc>
          <w:tcPr>
            <w:tcW w:w="7230" w:type="dxa"/>
            <w:tcBorders>
              <w:top w:val="single" w:color="auto" w:sz="4" w:space="0"/>
              <w:left w:val="single" w:color="auto" w:sz="4" w:space="0"/>
              <w:bottom w:val="single" w:color="auto" w:sz="4" w:space="0"/>
              <w:right w:val="single" w:color="auto" w:sz="4" w:space="0"/>
            </w:tcBorders>
            <w:vAlign w:val="center"/>
          </w:tcPr>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（1）供应商获得国家或国际管理咨询案例奖，每获得一份得</w:t>
            </w:r>
            <w:r>
              <w:rPr>
                <w:rFonts w:ascii="宋体" w:hAnsi="宋体" w:eastAsia="宋体" w:cs="Times New Roman"/>
                <w:color w:val="000000" w:themeColor="text1"/>
                <w:sz w:val="20"/>
                <w:szCs w:val="20"/>
                <w14:textFill>
                  <w14:solidFill>
                    <w14:schemeClr w14:val="tx1"/>
                  </w14:solidFill>
                </w14:textFill>
              </w:rPr>
              <w:t>1</w:t>
            </w:r>
            <w:r>
              <w:rPr>
                <w:rFonts w:hint="eastAsia" w:ascii="宋体" w:hAnsi="宋体" w:eastAsia="宋体" w:cs="Times New Roman"/>
                <w:color w:val="000000" w:themeColor="text1"/>
                <w:sz w:val="20"/>
                <w:szCs w:val="20"/>
                <w14:textFill>
                  <w14:solidFill>
                    <w14:schemeClr w14:val="tx1"/>
                  </w14:solidFill>
                </w14:textFill>
              </w:rPr>
              <w:t>分，满分3分；</w:t>
            </w:r>
          </w:p>
          <w:p>
            <w:pPr>
              <w:spacing w:line="420" w:lineRule="exact"/>
              <w:rPr>
                <w:rFonts w:hint="eastAsia" w:ascii="宋体" w:hAnsi="宋体" w:eastAsia="宋体" w:cs="Times New Roman"/>
                <w:color w:val="000000" w:themeColor="text1"/>
                <w:sz w:val="20"/>
                <w:szCs w:val="20"/>
                <w14:textFill>
                  <w14:solidFill>
                    <w14:schemeClr w14:val="tx1"/>
                  </w14:solidFill>
                </w14:textFill>
              </w:rPr>
            </w:pPr>
            <w:r>
              <w:rPr>
                <w:rFonts w:hint="eastAsia" w:ascii="宋体" w:hAnsi="宋体" w:eastAsia="宋体" w:cs="Times New Roman"/>
                <w:color w:val="000000" w:themeColor="text1"/>
                <w:sz w:val="20"/>
                <w:szCs w:val="20"/>
                <w14:textFill>
                  <w14:solidFill>
                    <w14:schemeClr w14:val="tx1"/>
                  </w14:solidFill>
                </w14:textFill>
              </w:rPr>
              <w:t>（2）供应商、项目负责人或团队成员获得医院管理相关作品登记证书，每获得1份得0</w:t>
            </w:r>
            <w:r>
              <w:rPr>
                <w:rFonts w:ascii="宋体" w:hAnsi="宋体" w:eastAsia="宋体" w:cs="Times New Roman"/>
                <w:color w:val="000000" w:themeColor="text1"/>
                <w:sz w:val="20"/>
                <w:szCs w:val="20"/>
                <w14:textFill>
                  <w14:solidFill>
                    <w14:schemeClr w14:val="tx1"/>
                  </w14:solidFill>
                </w14:textFill>
              </w:rPr>
              <w:t>.2</w:t>
            </w:r>
            <w:r>
              <w:rPr>
                <w:rFonts w:hint="eastAsia" w:ascii="宋体" w:hAnsi="宋体" w:eastAsia="宋体" w:cs="Times New Roman"/>
                <w:color w:val="000000" w:themeColor="text1"/>
                <w:sz w:val="20"/>
                <w:szCs w:val="20"/>
                <w14:textFill>
                  <w14:solidFill>
                    <w14:schemeClr w14:val="tx1"/>
                  </w14:solidFill>
                </w14:textFill>
              </w:rPr>
              <w:t>分，满分1分。</w:t>
            </w:r>
          </w:p>
          <w:p>
            <w:pPr>
              <w:pStyle w:val="2"/>
              <w:spacing w:after="0" w:line="420" w:lineRule="exact"/>
              <w:ind w:firstLine="480"/>
              <w:rPr>
                <w:rFonts w:hint="eastAsia" w:ascii="宋体" w:hAnsi="宋体" w:eastAsia="宋体"/>
                <w:b/>
                <w:bCs/>
                <w:color w:val="000000" w:themeColor="text1"/>
                <w:sz w:val="20"/>
                <w:szCs w:val="20"/>
                <w14:textFill>
                  <w14:solidFill>
                    <w14:schemeClr w14:val="tx1"/>
                  </w14:solidFill>
                </w14:textFill>
              </w:rPr>
            </w:pPr>
            <w:r>
              <w:rPr>
                <w:rFonts w:hint="eastAsia" w:ascii="宋体" w:hAnsi="宋体" w:eastAsia="宋体"/>
                <w:color w:val="000000" w:themeColor="text1"/>
                <w:sz w:val="20"/>
                <w:szCs w:val="20"/>
                <w14:textFill>
                  <w14:solidFill>
                    <w14:schemeClr w14:val="tx1"/>
                  </w14:solidFill>
                </w14:textFill>
              </w:rPr>
              <w:t>注</w:t>
            </w:r>
            <w:r>
              <w:rPr>
                <w:rFonts w:ascii="宋体" w:hAnsi="宋体" w:eastAsia="宋体"/>
                <w:color w:val="000000" w:themeColor="text1"/>
                <w:sz w:val="20"/>
                <w:szCs w:val="20"/>
                <w14:textFill>
                  <w14:solidFill>
                    <w14:schemeClr w14:val="tx1"/>
                  </w14:solidFill>
                </w14:textFill>
              </w:rPr>
              <w:t>：</w:t>
            </w:r>
            <w:r>
              <w:rPr>
                <w:rFonts w:hint="eastAsia" w:ascii="宋体" w:hAnsi="宋体" w:eastAsia="宋体"/>
                <w:color w:val="000000" w:themeColor="text1"/>
                <w:sz w:val="20"/>
                <w:szCs w:val="20"/>
                <w14:textFill>
                  <w14:solidFill>
                    <w14:schemeClr w14:val="tx1"/>
                  </w14:solidFill>
                </w14:textFill>
              </w:rPr>
              <w:t>须提供相关</w:t>
            </w:r>
            <w:r>
              <w:rPr>
                <w:rFonts w:ascii="宋体" w:hAnsi="宋体" w:eastAsia="宋体"/>
                <w:color w:val="000000" w:themeColor="text1"/>
                <w:sz w:val="20"/>
                <w:szCs w:val="20"/>
                <w14:textFill>
                  <w14:solidFill>
                    <w14:schemeClr w14:val="tx1"/>
                  </w14:solidFill>
                </w14:textFill>
              </w:rPr>
              <w:t>证书复印件</w:t>
            </w:r>
            <w:r>
              <w:rPr>
                <w:rFonts w:hint="eastAsia" w:ascii="宋体" w:hAnsi="宋体" w:eastAsia="宋体"/>
                <w:color w:val="000000" w:themeColor="text1"/>
                <w:sz w:val="20"/>
                <w:szCs w:val="20"/>
                <w14:textFill>
                  <w14:solidFill>
                    <w14:schemeClr w14:val="tx1"/>
                  </w14:solidFill>
                </w14:textFill>
              </w:rPr>
              <w:t>并加盖单位公章，否则不予计分。</w:t>
            </w:r>
          </w:p>
        </w:tc>
      </w:tr>
    </w:tbl>
    <w:p>
      <w:pPr>
        <w:spacing w:before="160"/>
        <w:jc w:val="left"/>
        <w:rPr>
          <w:rFonts w:hint="eastAsia" w:ascii="宋体" w:hAnsi="宋体" w:eastAsia="宋体" w:cs="宋体"/>
          <w:b/>
          <w:color w:val="000000" w:themeColor="text1"/>
          <w:sz w:val="24"/>
          <w14:textFill>
            <w14:solidFill>
              <w14:schemeClr w14:val="tx1"/>
            </w14:solidFill>
          </w14:textFill>
        </w:rPr>
      </w:pPr>
    </w:p>
    <w:p>
      <w:pPr>
        <w:spacing w:before="160"/>
        <w:jc w:val="left"/>
        <w:rPr>
          <w:rFonts w:hint="eastAsia"/>
          <w:color w:val="000000" w:themeColor="text1"/>
          <w:sz w:val="24"/>
          <w14:textFill>
            <w14:solidFill>
              <w14:schemeClr w14:val="tx1"/>
            </w14:solidFill>
          </w14:textFill>
        </w:rPr>
      </w:pPr>
      <w:r>
        <w:rPr>
          <w:rFonts w:ascii="宋体" w:hAnsi="宋体" w:eastAsia="宋体" w:cs="宋体"/>
          <w:b/>
          <w:color w:val="000000" w:themeColor="text1"/>
          <w:sz w:val="24"/>
          <w14:textFill>
            <w14:solidFill>
              <w14:schemeClr w14:val="tx1"/>
            </w14:solidFill>
          </w14:textFill>
        </w:rPr>
        <w:t>五、评分方法</w:t>
      </w:r>
    </w:p>
    <w:p>
      <w:pPr>
        <w:numPr>
          <w:ilvl w:val="0"/>
          <w:numId w:val="2"/>
        </w:numPr>
        <w:spacing w:before="160"/>
        <w:jc w:val="left"/>
        <w:rPr>
          <w:rFonts w:hint="eastAsia"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采用综合评分法，评标委员会独立打分后取平均分；</w:t>
      </w:r>
    </w:p>
    <w:p>
      <w:pPr>
        <w:numPr>
          <w:ilvl w:val="0"/>
          <w:numId w:val="2"/>
        </w:numPr>
        <w:spacing w:before="160"/>
        <w:jc w:val="left"/>
        <w:rPr>
          <w:rFonts w:hint="eastAsia"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总分=各评分项得分之和，最高</w:t>
      </w:r>
      <w:r>
        <w:rPr>
          <w:rFonts w:hint="eastAsia" w:ascii="宋体" w:hAnsi="宋体" w:eastAsia="宋体" w:cs="宋体"/>
          <w:color w:val="000000" w:themeColor="text1"/>
          <w:sz w:val="24"/>
          <w14:textFill>
            <w14:solidFill>
              <w14:schemeClr w14:val="tx1"/>
            </w14:solidFill>
          </w14:textFill>
        </w:rPr>
        <w:t>100</w:t>
      </w:r>
      <w:r>
        <w:rPr>
          <w:rFonts w:ascii="宋体" w:hAnsi="宋体" w:eastAsia="宋体" w:cs="宋体"/>
          <w:color w:val="000000" w:themeColor="text1"/>
          <w:sz w:val="24"/>
          <w14:textFill>
            <w14:solidFill>
              <w14:schemeClr w14:val="tx1"/>
            </w14:solidFill>
          </w14:textFill>
        </w:rPr>
        <w:t>分；</w:t>
      </w:r>
    </w:p>
    <w:p>
      <w:pPr>
        <w:numPr>
          <w:ilvl w:val="0"/>
          <w:numId w:val="2"/>
        </w:numPr>
        <w:spacing w:before="160"/>
        <w:jc w:val="left"/>
        <w:rPr>
          <w:rFonts w:hint="eastAsia"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合格线：总分≥</w:t>
      </w:r>
      <w:r>
        <w:rPr>
          <w:rFonts w:hint="eastAsia" w:ascii="宋体" w:hAnsi="宋体" w:eastAsia="宋体" w:cs="宋体"/>
          <w:color w:val="000000" w:themeColor="text1"/>
          <w:sz w:val="24"/>
          <w14:textFill>
            <w14:solidFill>
              <w14:schemeClr w14:val="tx1"/>
            </w14:solidFill>
          </w14:textFill>
        </w:rPr>
        <w:t>60</w:t>
      </w:r>
      <w:r>
        <w:rPr>
          <w:rFonts w:ascii="宋体" w:hAnsi="宋体" w:eastAsia="宋体" w:cs="宋体"/>
          <w:color w:val="000000" w:themeColor="text1"/>
          <w:sz w:val="24"/>
          <w14:textFill>
            <w14:solidFill>
              <w14:schemeClr w14:val="tx1"/>
            </w14:solidFill>
          </w14:textFill>
        </w:rPr>
        <w:t>分方可进入候选名单</w:t>
      </w:r>
      <w:r>
        <w:rPr>
          <w:rFonts w:hint="eastAsia" w:ascii="宋体" w:hAnsi="宋体" w:eastAsia="宋体" w:cs="宋体"/>
          <w:color w:val="000000" w:themeColor="text1"/>
          <w:sz w:val="24"/>
          <w14:textFill>
            <w14:solidFill>
              <w14:schemeClr w14:val="tx1"/>
            </w14:solidFill>
          </w14:textFill>
        </w:rPr>
        <w:t>；</w:t>
      </w:r>
    </w:p>
    <w:p>
      <w:pPr>
        <w:numPr>
          <w:ilvl w:val="0"/>
          <w:numId w:val="2"/>
        </w:num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综合评分最高者中标。</w:t>
      </w:r>
    </w:p>
    <w:p>
      <w:pPr>
        <w:spacing w:before="160"/>
        <w:jc w:val="left"/>
        <w:rPr>
          <w:rFonts w:hint="eastAsia"/>
          <w:color w:val="000000" w:themeColor="text1"/>
          <w:sz w:val="24"/>
          <w14:textFill>
            <w14:solidFill>
              <w14:schemeClr w14:val="tx1"/>
            </w14:solidFill>
          </w14:textFill>
        </w:rPr>
      </w:pPr>
      <w:r>
        <w:rPr>
          <w:rFonts w:ascii="宋体" w:hAnsi="宋体" w:eastAsia="宋体" w:cs="宋体"/>
          <w:b/>
          <w:color w:val="000000" w:themeColor="text1"/>
          <w:sz w:val="24"/>
          <w14:textFill>
            <w14:solidFill>
              <w14:schemeClr w14:val="tx1"/>
            </w14:solidFill>
          </w14:textFill>
        </w:rPr>
        <w:t>六、否决条款</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ascii="宋体" w:hAnsi="宋体" w:eastAsia="宋体" w:cs="宋体"/>
          <w:color w:val="000000" w:themeColor="text1"/>
          <w:sz w:val="24"/>
          <w14:textFill>
            <w14:solidFill>
              <w14:schemeClr w14:val="tx1"/>
            </w14:solidFill>
          </w14:textFill>
        </w:rPr>
        <w:t>方案违反国家医疗政策强制要求；</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ascii="宋体" w:hAnsi="宋体" w:eastAsia="宋体" w:cs="宋体"/>
          <w:color w:val="000000" w:themeColor="text1"/>
          <w:sz w:val="24"/>
          <w14:textFill>
            <w14:solidFill>
              <w14:schemeClr w14:val="tx1"/>
            </w14:solidFill>
          </w14:textFill>
        </w:rPr>
        <w:t>存在重大数据造假或抄袭；</w:t>
      </w:r>
    </w:p>
    <w:p>
      <w:pPr>
        <w:spacing w:before="160"/>
        <w:jc w:val="left"/>
        <w:rPr>
          <w:rFonts w:hint="eastAsia"/>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w:t>
      </w:r>
      <w:r>
        <w:rPr>
          <w:rFonts w:ascii="宋体" w:hAnsi="宋体" w:eastAsia="宋体" w:cs="宋体"/>
          <w:color w:val="000000" w:themeColor="text1"/>
          <w:sz w:val="24"/>
          <w14:textFill>
            <w14:solidFill>
              <w14:schemeClr w14:val="tx1"/>
            </w14:solidFill>
          </w14:textFill>
        </w:rPr>
        <w:t>未实质性响应招标要求（如缺失核心模块）。</w:t>
      </w:r>
    </w:p>
    <w:p>
      <w:pPr>
        <w:spacing w:before="160"/>
        <w:jc w:val="left"/>
        <w:rPr>
          <w:rFonts w:hint="eastAsia"/>
          <w:color w:val="000000" w:themeColor="text1"/>
          <w:sz w:val="24"/>
          <w14:textFill>
            <w14:solidFill>
              <w14:schemeClr w14:val="tx1"/>
            </w14:solidFill>
          </w14:textFill>
        </w:rPr>
      </w:pPr>
      <w:r>
        <w:rPr>
          <w:rFonts w:ascii="宋体" w:hAnsi="宋体" w:eastAsia="宋体" w:cs="宋体"/>
          <w:b/>
          <w:color w:val="000000" w:themeColor="text1"/>
          <w:sz w:val="24"/>
          <w14:textFill>
            <w14:solidFill>
              <w14:schemeClr w14:val="tx1"/>
            </w14:solidFill>
          </w14:textFill>
        </w:rPr>
        <w:t>七、其他条件</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ascii="宋体" w:hAnsi="宋体" w:eastAsia="宋体" w:cs="宋体"/>
          <w:color w:val="000000" w:themeColor="text1"/>
          <w:sz w:val="24"/>
          <w14:textFill>
            <w14:solidFill>
              <w14:schemeClr w14:val="tx1"/>
            </w14:solidFill>
          </w14:textFill>
        </w:rPr>
        <w:t>投标文件需包含：方案文本、评分细则应答表、资质证明等；</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ascii="宋体" w:hAnsi="宋体" w:eastAsia="宋体" w:cs="宋体"/>
          <w:color w:val="000000" w:themeColor="text1"/>
          <w:sz w:val="24"/>
          <w14:textFill>
            <w14:solidFill>
              <w14:schemeClr w14:val="tx1"/>
            </w14:solidFill>
          </w14:textFill>
        </w:rPr>
        <w:t>解释权归</w:t>
      </w:r>
      <w:r>
        <w:rPr>
          <w:rFonts w:hint="eastAsia" w:ascii="宋体" w:hAnsi="宋体" w:eastAsia="宋体" w:cs="宋体"/>
          <w:color w:val="000000" w:themeColor="text1"/>
          <w:sz w:val="24"/>
          <w14:textFill>
            <w14:solidFill>
              <w14:schemeClr w14:val="tx1"/>
            </w14:solidFill>
          </w14:textFill>
        </w:rPr>
        <w:t>黔东南苗族侗族自治州民族医药研究院</w:t>
      </w:r>
      <w:r>
        <w:rPr>
          <w:rFonts w:ascii="宋体" w:hAnsi="宋体" w:eastAsia="宋体" w:cs="宋体"/>
          <w:color w:val="000000" w:themeColor="text1"/>
          <w:sz w:val="24"/>
          <w14:textFill>
            <w14:solidFill>
              <w14:schemeClr w14:val="tx1"/>
            </w14:solidFill>
          </w14:textFill>
        </w:rPr>
        <w:t>招标委员会所有。</w:t>
      </w:r>
    </w:p>
    <w:p>
      <w:pPr>
        <w:spacing w:before="160"/>
        <w:ind w:firstLine="4560" w:firstLineChars="19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黔东南苗族侗族自治州民族医药研究院</w:t>
      </w:r>
    </w:p>
    <w:p>
      <w:pPr>
        <w:spacing w:before="160"/>
        <w:ind w:firstLine="5760" w:firstLineChars="240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2025</w:t>
      </w:r>
      <w:r>
        <w:rPr>
          <w:rFonts w:ascii="宋体" w:hAnsi="宋体" w:eastAsia="宋体" w:cs="宋体"/>
          <w:color w:val="000000" w:themeColor="text1"/>
          <w:sz w:val="24"/>
          <w14:textFill>
            <w14:solidFill>
              <w14:schemeClr w14:val="tx1"/>
            </w14:solidFill>
          </w14:textFill>
        </w:rPr>
        <w:t>年</w:t>
      </w:r>
      <w:r>
        <w:rPr>
          <w:rFonts w:hint="eastAsia" w:ascii="宋体" w:hAnsi="宋体" w:eastAsia="宋体" w:cs="宋体"/>
          <w:color w:val="000000" w:themeColor="text1"/>
          <w:sz w:val="24"/>
          <w14:textFill>
            <w14:solidFill>
              <w14:schemeClr w14:val="tx1"/>
            </w14:solidFill>
          </w14:textFill>
        </w:rPr>
        <w:t>5</w:t>
      </w:r>
      <w:r>
        <w:rPr>
          <w:rFonts w:ascii="宋体" w:hAnsi="宋体" w:eastAsia="宋体" w:cs="宋体"/>
          <w:color w:val="000000" w:themeColor="text1"/>
          <w:sz w:val="24"/>
          <w14:textFill>
            <w14:solidFill>
              <w14:schemeClr w14:val="tx1"/>
            </w14:solidFill>
          </w14:textFill>
        </w:rPr>
        <w:t>月</w:t>
      </w:r>
      <w:r>
        <w:rPr>
          <w:rFonts w:hint="eastAsia" w:ascii="宋体" w:hAnsi="宋体" w:eastAsia="宋体" w:cs="宋体"/>
          <w:color w:val="000000" w:themeColor="text1"/>
          <w:sz w:val="24"/>
          <w14:textFill>
            <w14:solidFill>
              <w14:schemeClr w14:val="tx1"/>
            </w14:solidFill>
          </w14:textFill>
        </w:rPr>
        <w:t>23</w:t>
      </w:r>
      <w:r>
        <w:rPr>
          <w:rFonts w:ascii="宋体" w:hAnsi="宋体" w:eastAsia="宋体" w:cs="宋体"/>
          <w:color w:val="000000" w:themeColor="text1"/>
          <w:sz w:val="24"/>
          <w14:textFill>
            <w14:solidFill>
              <w14:schemeClr w14:val="tx1"/>
            </w14:solidFill>
          </w14:textFill>
        </w:rPr>
        <w:t>日</w:t>
      </w:r>
    </w:p>
    <w:p>
      <w:pPr>
        <w:spacing w:before="160"/>
        <w:ind w:firstLine="5783" w:firstLineChars="2400"/>
        <w:jc w:val="left"/>
        <w:rPr>
          <w:rFonts w:hint="eastAsia"/>
          <w:color w:val="000000" w:themeColor="text1"/>
          <w:sz w:val="24"/>
          <w14:textFill>
            <w14:solidFill>
              <w14:schemeClr w14:val="tx1"/>
            </w14:solidFill>
          </w14:textFill>
        </w:rPr>
      </w:pPr>
      <w:r>
        <w:rPr>
          <w:rFonts w:ascii="宋体" w:hAnsi="宋体" w:eastAsia="宋体" w:cs="宋体"/>
          <w:b/>
          <w:color w:val="000000" w:themeColor="text1"/>
          <w:sz w:val="24"/>
          <w14:textFill>
            <w14:solidFill>
              <w14:schemeClr w14:val="tx1"/>
            </w14:solidFill>
          </w14:textFill>
        </w:rPr>
        <w:t>提示</w:t>
      </w:r>
      <w:r>
        <w:rPr>
          <w:rFonts w:ascii="宋体" w:hAnsi="宋体" w:eastAsia="宋体" w:cs="宋体"/>
          <w:color w:val="000000" w:themeColor="text1"/>
          <w:sz w:val="24"/>
          <w14:textFill>
            <w14:solidFill>
              <w14:schemeClr w14:val="tx1"/>
            </w14:solidFill>
          </w14:textFill>
        </w:rPr>
        <w:t>：</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ascii="宋体" w:hAnsi="宋体" w:eastAsia="宋体" w:cs="宋体"/>
          <w:color w:val="000000" w:themeColor="text1"/>
          <w:sz w:val="24"/>
          <w14:textFill>
            <w14:solidFill>
              <w14:schemeClr w14:val="tx1"/>
            </w14:solidFill>
          </w14:textFill>
        </w:rPr>
        <w:t>评分细则需结合医院实际需求调整权重（如重点倾斜医疗质量或成本控制）；</w:t>
      </w:r>
    </w:p>
    <w:p>
      <w:pPr>
        <w:spacing w:before="16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ascii="宋体" w:hAnsi="宋体" w:eastAsia="宋体" w:cs="宋体"/>
          <w:color w:val="000000" w:themeColor="text1"/>
          <w:sz w:val="24"/>
          <w14:textFill>
            <w14:solidFill>
              <w14:schemeClr w14:val="tx1"/>
            </w14:solidFill>
          </w14:textFill>
        </w:rPr>
        <w:t>合规性条款需引用最新政策（如《公立医院高质量发展评价指标》）；</w:t>
      </w:r>
    </w:p>
    <w:p>
      <w:pPr>
        <w:spacing w:before="160"/>
        <w:jc w:val="left"/>
        <w:rPr>
          <w:rFonts w:hint="eastAsia" w:ascii="宋体" w:hAnsi="宋体" w:eastAsia="宋体" w:cs="宋体"/>
          <w:color w:val="000000" w:themeColor="text1"/>
          <w:sz w:val="24"/>
          <w14:textFill>
            <w14:solidFill>
              <w14:schemeClr w14:val="tx1"/>
            </w14:solidFill>
          </w14:textFill>
        </w:rPr>
      </w:pPr>
    </w:p>
    <w:p>
      <w:pPr>
        <w:spacing w:before="160"/>
        <w:jc w:val="left"/>
        <w:rPr>
          <w:rFonts w:hint="eastAsia" w:ascii="宋体" w:hAnsi="宋体" w:eastAsia="宋体" w:cs="宋体"/>
          <w:color w:val="000000" w:themeColor="text1"/>
          <w:sz w:val="24"/>
          <w14:textFill>
            <w14:solidFill>
              <w14:schemeClr w14:val="tx1"/>
            </w14:solidFill>
          </w14:textFill>
        </w:rPr>
      </w:pPr>
    </w:p>
    <w:p>
      <w:pPr>
        <w:spacing w:before="160"/>
        <w:jc w:val="left"/>
        <w:rPr>
          <w:rFonts w:hint="eastAsia" w:ascii="宋体" w:hAnsi="宋体" w:eastAsia="宋体" w:cs="宋体"/>
          <w:color w:val="000000" w:themeColor="text1"/>
          <w:sz w:val="24"/>
          <w14:textFill>
            <w14:solidFill>
              <w14:schemeClr w14:val="tx1"/>
            </w14:solidFill>
          </w14:textFill>
        </w:rPr>
      </w:pPr>
    </w:p>
    <w:p>
      <w:pPr>
        <w:spacing w:before="160"/>
        <w:jc w:val="left"/>
        <w:rPr>
          <w:rFonts w:hint="eastAsia" w:ascii="宋体" w:hAnsi="宋体" w:eastAsia="宋体" w:cs="宋体"/>
          <w:color w:val="000000" w:themeColor="text1"/>
          <w:sz w:val="24"/>
          <w14:textFill>
            <w14:solidFill>
              <w14:schemeClr w14:val="tx1"/>
            </w14:solidFill>
          </w14:textFill>
        </w:rPr>
      </w:pPr>
    </w:p>
    <w:p>
      <w:pPr>
        <w:spacing w:before="160"/>
        <w:jc w:val="left"/>
        <w:rPr>
          <w:rFonts w:hint="eastAsia" w:ascii="宋体" w:hAnsi="宋体" w:eastAsia="宋体" w:cs="宋体"/>
          <w:color w:val="000000" w:themeColor="text1"/>
          <w:sz w:val="24"/>
          <w14:textFill>
            <w14:solidFill>
              <w14:schemeClr w14:val="tx1"/>
            </w14:solidFill>
          </w14:textFill>
        </w:rPr>
      </w:pPr>
    </w:p>
    <w:p>
      <w:pPr>
        <w:spacing w:before="160"/>
        <w:jc w:val="left"/>
        <w:rPr>
          <w:rFonts w:hint="eastAsia" w:ascii="宋体" w:hAnsi="宋体" w:eastAsia="宋体" w:cs="宋体"/>
          <w:color w:val="000000" w:themeColor="text1"/>
          <w:sz w:val="24"/>
          <w14:textFill>
            <w14:solidFill>
              <w14:schemeClr w14:val="tx1"/>
            </w14:solidFill>
          </w14:textFill>
        </w:rPr>
      </w:pPr>
    </w:p>
    <w:p>
      <w:pPr>
        <w:spacing w:before="160"/>
        <w:jc w:val="left"/>
        <w:rPr>
          <w:rFonts w:hint="eastAsia" w:ascii="宋体" w:hAnsi="宋体" w:eastAsia="宋体" w:cs="宋体"/>
          <w:color w:val="000000" w:themeColor="text1"/>
          <w:sz w:val="24"/>
          <w14:textFill>
            <w14:solidFill>
              <w14:schemeClr w14:val="tx1"/>
            </w14:solidFill>
          </w14:textFill>
        </w:rPr>
      </w:pPr>
    </w:p>
    <w:p>
      <w:pPr>
        <w:spacing w:before="160"/>
        <w:jc w:val="left"/>
        <w:rPr>
          <w:rFonts w:hint="eastAsia" w:ascii="宋体" w:hAnsi="宋体" w:eastAsia="宋体" w:cs="宋体"/>
          <w:color w:val="000000" w:themeColor="text1"/>
          <w:sz w:val="24"/>
          <w14:textFill>
            <w14:solidFill>
              <w14:schemeClr w14:val="tx1"/>
            </w14:solidFill>
          </w14:textFill>
        </w:rPr>
      </w:pPr>
    </w:p>
    <w:sectPr>
      <w:pgSz w:w="12240" w:h="15840"/>
      <w:pgMar w:top="1440" w:right="1800" w:bottom="1440" w:left="18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ourier New">
    <w:panose1 w:val="02070309020205020404"/>
    <w:charset w:val="00"/>
    <w:family w:val="modern"/>
    <w:pitch w:val="default"/>
    <w:sig w:usb0="E0002E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DB70EF"/>
    <w:multiLevelType w:val="singleLevel"/>
    <w:tmpl w:val="92DB70EF"/>
    <w:lvl w:ilvl="0" w:tentative="0">
      <w:start w:val="1"/>
      <w:numFmt w:val="chineseCounting"/>
      <w:suff w:val="nothing"/>
      <w:lvlText w:val="%1、"/>
      <w:lvlJc w:val="left"/>
      <w:rPr>
        <w:rFonts w:hint="eastAsia"/>
      </w:rPr>
    </w:lvl>
  </w:abstractNum>
  <w:abstractNum w:abstractNumId="1">
    <w:nsid w:val="555128F7"/>
    <w:multiLevelType w:val="multilevel"/>
    <w:tmpl w:val="555128F7"/>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VhMmU1NDdjMjk0NWU0MzBiM2RkZmFiNGE1MWJhMjgifQ=="/>
  </w:docVars>
  <w:rsids>
    <w:rsidRoot w:val="004D47B2"/>
    <w:rsid w:val="004D47B2"/>
    <w:rsid w:val="004F10C1"/>
    <w:rsid w:val="00C51B3A"/>
    <w:rsid w:val="00D03147"/>
    <w:rsid w:val="00E428AD"/>
    <w:rsid w:val="00ED7381"/>
    <w:rsid w:val="00F83D80"/>
    <w:rsid w:val="030F4F6A"/>
    <w:rsid w:val="03597303"/>
    <w:rsid w:val="0FFA66A2"/>
    <w:rsid w:val="152557D0"/>
    <w:rsid w:val="183102D5"/>
    <w:rsid w:val="2D246790"/>
    <w:rsid w:val="2EB312E6"/>
    <w:rsid w:val="32A77BD0"/>
    <w:rsid w:val="33743B62"/>
    <w:rsid w:val="38E4521D"/>
    <w:rsid w:val="3A82511E"/>
    <w:rsid w:val="3E7F3E91"/>
    <w:rsid w:val="43262A61"/>
    <w:rsid w:val="46977439"/>
    <w:rsid w:val="471928B0"/>
    <w:rsid w:val="4F5C4D0E"/>
    <w:rsid w:val="533C476C"/>
    <w:rsid w:val="5586381E"/>
    <w:rsid w:val="5A896DB9"/>
    <w:rsid w:val="5D611A91"/>
    <w:rsid w:val="63611130"/>
    <w:rsid w:val="69E22A8D"/>
    <w:rsid w:val="6C4C227F"/>
    <w:rsid w:val="6D701590"/>
    <w:rsid w:val="6FF15617"/>
    <w:rsid w:val="71DE1DC9"/>
    <w:rsid w:val="73F35CD6"/>
    <w:rsid w:val="78A45C6F"/>
    <w:rsid w:val="7D2428A3"/>
    <w:rsid w:val="7D5F44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sz w:val="21"/>
      <w:szCs w:val="22"/>
      <w:lang w:val="en-US" w:eastAsia="zh-CN" w:bidi="ar-SA"/>
    </w:rPr>
  </w:style>
  <w:style w:type="character" w:default="1" w:styleId="7">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11"/>
    <w:autoRedefine/>
    <w:qFormat/>
    <w:uiPriority w:val="99"/>
    <w:pPr>
      <w:spacing w:after="120"/>
    </w:pPr>
    <w:rPr>
      <w:rFonts w:ascii="等线" w:hAnsi="等线" w:eastAsia="等线" w:cs="宋体"/>
      <w:kern w:val="2"/>
      <w:szCs w:val="24"/>
    </w:rPr>
  </w:style>
  <w:style w:type="paragraph" w:styleId="3">
    <w:name w:val="Plain Text"/>
    <w:basedOn w:val="1"/>
    <w:link w:val="13"/>
    <w:autoRedefine/>
    <w:qFormat/>
    <w:uiPriority w:val="0"/>
    <w:rPr>
      <w:rFonts w:ascii="宋体" w:hAnsi="Courier New"/>
      <w:kern w:val="2"/>
      <w:szCs w:val="20"/>
    </w:rPr>
  </w:style>
  <w:style w:type="paragraph" w:styleId="4">
    <w:name w:val="footer"/>
    <w:basedOn w:val="1"/>
    <w:link w:val="10"/>
    <w:autoRedefine/>
    <w:qFormat/>
    <w:uiPriority w:val="0"/>
    <w:pPr>
      <w:tabs>
        <w:tab w:val="center" w:pos="4153"/>
        <w:tab w:val="right" w:pos="8306"/>
      </w:tabs>
      <w:snapToGrid w:val="0"/>
      <w:jc w:val="left"/>
    </w:pPr>
    <w:rPr>
      <w:sz w:val="18"/>
      <w:szCs w:val="18"/>
    </w:rPr>
  </w:style>
  <w:style w:type="paragraph" w:styleId="5">
    <w:name w:val="header"/>
    <w:basedOn w:val="1"/>
    <w:link w:val="9"/>
    <w:autoRedefine/>
    <w:qFormat/>
    <w:uiPriority w:val="0"/>
    <w:pPr>
      <w:tabs>
        <w:tab w:val="center" w:pos="4153"/>
        <w:tab w:val="right" w:pos="8306"/>
      </w:tabs>
      <w:snapToGrid w:val="0"/>
      <w:jc w:val="center"/>
    </w:pPr>
    <w:rPr>
      <w:sz w:val="18"/>
      <w:szCs w:val="18"/>
    </w:rPr>
  </w:style>
  <w:style w:type="paragraph" w:styleId="8">
    <w:name w:val="List Paragraph"/>
    <w:basedOn w:val="1"/>
    <w:autoRedefine/>
    <w:qFormat/>
    <w:uiPriority w:val="34"/>
    <w:pPr>
      <w:ind w:firstLine="420" w:firstLineChars="200"/>
    </w:pPr>
  </w:style>
  <w:style w:type="character" w:customStyle="1" w:styleId="9">
    <w:name w:val="页眉 字符"/>
    <w:basedOn w:val="7"/>
    <w:link w:val="5"/>
    <w:autoRedefine/>
    <w:qFormat/>
    <w:uiPriority w:val="0"/>
    <w:rPr>
      <w:sz w:val="18"/>
      <w:szCs w:val="18"/>
    </w:rPr>
  </w:style>
  <w:style w:type="character" w:customStyle="1" w:styleId="10">
    <w:name w:val="页脚 字符"/>
    <w:basedOn w:val="7"/>
    <w:link w:val="4"/>
    <w:autoRedefine/>
    <w:qFormat/>
    <w:uiPriority w:val="0"/>
    <w:rPr>
      <w:sz w:val="18"/>
      <w:szCs w:val="18"/>
    </w:rPr>
  </w:style>
  <w:style w:type="character" w:customStyle="1" w:styleId="11">
    <w:name w:val="正文文本 字符"/>
    <w:basedOn w:val="7"/>
    <w:link w:val="2"/>
    <w:autoRedefine/>
    <w:qFormat/>
    <w:uiPriority w:val="99"/>
    <w:rPr>
      <w:rFonts w:ascii="等线" w:hAnsi="等线" w:eastAsia="等线" w:cs="宋体"/>
      <w:kern w:val="2"/>
      <w:sz w:val="21"/>
      <w:szCs w:val="24"/>
    </w:rPr>
  </w:style>
  <w:style w:type="paragraph" w:customStyle="1" w:styleId="12">
    <w:name w:val="Default"/>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3">
    <w:name w:val="纯文本 字符"/>
    <w:basedOn w:val="7"/>
    <w:link w:val="3"/>
    <w:autoRedefine/>
    <w:qFormat/>
    <w:uiPriority w:val="0"/>
    <w:rPr>
      <w:rFonts w:ascii="宋体" w:hAnsi="Courier New"/>
      <w:kern w:val="2"/>
      <w:sz w:val="21"/>
    </w:rPr>
  </w:style>
  <w:style w:type="table" w:customStyle="1" w:styleId="14">
    <w:name w:val="Table Normal"/>
    <w:autoRedefine/>
    <w:qFormat/>
    <w:uiPriority w:val="0"/>
    <w:rPr>
      <w:rFonts w:ascii="Times New Roman" w:hAnsi="Times New Roman" w:eastAsia="宋体" w:cs="Times New Roman"/>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1560</Words>
  <Characters>1608</Characters>
  <Lines>94</Lines>
  <Paragraphs>102</Paragraphs>
  <TotalTime>35</TotalTime>
  <ScaleCrop>false</ScaleCrop>
  <LinksUpToDate>false</LinksUpToDate>
  <CharactersWithSpaces>3066</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2025-05-26T09:26:00Z</dcterms:created>
  <dc:creator>Apache POI</dc:creator>
  <cp:lastModifiedBy>灰常男人</cp:lastModifiedBy>
  <cp:lastPrinted>2025-05-28T03:06:00Z</cp:lastPrinted>
  <dcterms:modified xsi:type="dcterms:W3CDTF">2025-05-29T04:10:03Z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eyJoZGlkIjoiMGIzMDM3NWQ1YTY5NmQ0MmIyMGVhNzU4YzI4ZWUyNWEiLCJ1c2VySWQiOiIxMTY3MDc0NDE2In0=</vt:lpwstr>
  </property>
  <property fmtid="{D5CDD505-2E9C-101B-9397-08002B2CF9AE}" pid="3" name="KSOProductBuildVer">
    <vt:lpwstr>2052-12.1.0.16250</vt:lpwstr>
  </property>
  <property fmtid="{D5CDD505-2E9C-101B-9397-08002B2CF9AE}" pid="4" name="ICV">
    <vt:lpwstr>B7694134D665414197E4A4F9AA684805_13</vt:lpwstr>
  </property>
</Properties>
</file>