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0C6B9">
      <w:pPr>
        <w:pStyle w:val="2"/>
        <w:keepNext w:val="0"/>
        <w:keepLines w:val="0"/>
        <w:pageBreakBefore w:val="0"/>
        <w:widowControl w:val="0"/>
        <w:kinsoku/>
        <w:wordWrap/>
        <w:overflowPunct/>
        <w:topLinePunct w:val="0"/>
        <w:bidi w:val="0"/>
        <w:snapToGrid/>
        <w:spacing w:after="140" w:line="240" w:lineRule="auto"/>
        <w:ind w:firstLine="880" w:firstLineChars="200"/>
        <w:jc w:val="center"/>
        <w:textAlignment w:val="auto"/>
        <w:rPr>
          <w:rFonts w:hint="eastAsia" w:ascii="方正小标宋简体" w:hAnsi="方正小标宋简体" w:eastAsia="方正小标宋简体" w:cs="方正小标宋简体"/>
          <w:b/>
          <w:bCs/>
          <w:kern w:val="2"/>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投标单位报名资格及售后服务要求</w:t>
      </w:r>
    </w:p>
    <w:p w14:paraId="4BAFD7DC">
      <w:pPr>
        <w:pStyle w:val="2"/>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黑体" w:hAnsi="黑体" w:eastAsia="黑体" w:cs="黑体"/>
          <w:b/>
          <w:bCs/>
          <w:kern w:val="2"/>
          <w:sz w:val="32"/>
          <w:szCs w:val="32"/>
          <w:lang w:val="zh-CN" w:eastAsia="zh-CN"/>
        </w:rPr>
      </w:pPr>
      <w:r>
        <w:rPr>
          <w:rFonts w:hint="eastAsia" w:ascii="黑体" w:hAnsi="黑体" w:eastAsia="黑体" w:cs="黑体"/>
          <w:b/>
          <w:bCs/>
          <w:kern w:val="2"/>
          <w:sz w:val="32"/>
          <w:szCs w:val="32"/>
          <w:lang w:val="en-US" w:eastAsia="zh-CN"/>
        </w:rPr>
        <w:t>1、</w:t>
      </w:r>
      <w:r>
        <w:rPr>
          <w:rFonts w:hint="eastAsia" w:ascii="黑体" w:hAnsi="黑体" w:eastAsia="黑体" w:cs="黑体"/>
          <w:b/>
          <w:bCs/>
          <w:kern w:val="2"/>
          <w:sz w:val="32"/>
          <w:szCs w:val="32"/>
          <w:lang w:val="zh-CN" w:eastAsia="zh-CN"/>
        </w:rPr>
        <w:t>投标单位资格要求</w:t>
      </w:r>
    </w:p>
    <w:p w14:paraId="6B02E4BA">
      <w:pPr>
        <w:pStyle w:val="2"/>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（1）</w:t>
      </w:r>
      <w:r>
        <w:rPr>
          <w:rFonts w:hint="eastAsia" w:ascii="方正仿宋_GB2312" w:hAnsi="方正仿宋_GB2312" w:eastAsia="方正仿宋_GB2312" w:cs="方正仿宋_GB2312"/>
          <w:spacing w:val="0"/>
          <w:sz w:val="32"/>
          <w:szCs w:val="32"/>
        </w:rPr>
        <w:t>须提供其符合《中华人民共和国政府采购法》第二十二条要求的有效证明材料；</w:t>
      </w:r>
    </w:p>
    <w:p w14:paraId="0A41A726">
      <w:pPr>
        <w:pStyle w:val="2"/>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方正仿宋_GB2312" w:hAnsi="方正仿宋_GB2312" w:eastAsia="方正仿宋_GB2312" w:cs="方正仿宋_GB2312"/>
          <w:b w:val="0"/>
          <w:bCs w:val="0"/>
          <w:spacing w:val="0"/>
          <w:sz w:val="32"/>
          <w:szCs w:val="32"/>
          <w:lang w:val="zh-CN" w:eastAsia="zh-CN"/>
        </w:rPr>
      </w:pPr>
      <w:r>
        <w:rPr>
          <w:rFonts w:hint="eastAsia" w:ascii="方正仿宋_GB2312" w:hAnsi="方正仿宋_GB2312" w:eastAsia="方正仿宋_GB2312" w:cs="方正仿宋_GB2312"/>
          <w:b w:val="0"/>
          <w:bCs w:val="0"/>
          <w:spacing w:val="0"/>
          <w:sz w:val="32"/>
          <w:szCs w:val="32"/>
          <w:lang w:val="en-US" w:eastAsia="zh-CN"/>
        </w:rPr>
        <w:t>（2）</w:t>
      </w:r>
      <w:r>
        <w:rPr>
          <w:rFonts w:hint="eastAsia" w:ascii="方正仿宋_GB2312" w:hAnsi="方正仿宋_GB2312" w:eastAsia="方正仿宋_GB2312" w:cs="方正仿宋_GB2312"/>
          <w:b w:val="0"/>
          <w:bCs w:val="0"/>
          <w:spacing w:val="0"/>
          <w:sz w:val="32"/>
          <w:szCs w:val="32"/>
          <w:lang w:val="zh-CN" w:eastAsia="zh-CN"/>
        </w:rPr>
        <w:t>投标单位必须提供企业的营业执照和药品监督管理部门颁发的医疗器械经营或生产企业许可证。所有证照均须齐全、在评标期内有效、且无超范围经营现象。</w:t>
      </w:r>
    </w:p>
    <w:p w14:paraId="6450EA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投标单位信誉良好，有依法缴纳税收和社会保障资金的良好记录（提供供应商2026年近三个月依法纳税凭证和缴纳社会保障资金的证明材料），并承诺近</w:t>
      </w:r>
      <w:bookmarkStart w:id="0" w:name="_GoBack"/>
      <w:bookmarkEnd w:id="0"/>
      <w:r>
        <w:rPr>
          <w:rFonts w:hint="eastAsia" w:ascii="方正仿宋_GB2312" w:hAnsi="方正仿宋_GB2312" w:eastAsia="方正仿宋_GB2312" w:cs="方正仿宋_GB2312"/>
          <w:spacing w:val="0"/>
          <w:sz w:val="32"/>
          <w:szCs w:val="32"/>
          <w:lang w:val="en-US" w:eastAsia="zh-CN"/>
        </w:rPr>
        <w:t>三年内在经营活动中无严重违法违规记录(投标单位提供承诺书，格式自拟)。</w:t>
      </w:r>
    </w:p>
    <w:p w14:paraId="576F3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（4）</w:t>
      </w:r>
      <w:r>
        <w:rPr>
          <w:rFonts w:hint="eastAsia" w:ascii="方正仿宋_GB2312" w:hAnsi="方正仿宋_GB2312" w:eastAsia="方正仿宋_GB2312" w:cs="方正仿宋_GB2312"/>
          <w:spacing w:val="0"/>
          <w:sz w:val="32"/>
          <w:szCs w:val="32"/>
          <w:lang w:val="en-US" w:eastAsia="zh-CN"/>
        </w:rPr>
        <w:t>本项目不接受联合体投标。</w:t>
      </w:r>
    </w:p>
    <w:p w14:paraId="0D9667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（5）</w:t>
      </w:r>
      <w:r>
        <w:rPr>
          <w:rFonts w:hint="eastAsia" w:ascii="方正仿宋_GB2312" w:hAnsi="方正仿宋_GB2312" w:eastAsia="方正仿宋_GB2312" w:cs="方正仿宋_GB2312"/>
          <w:spacing w:val="0"/>
          <w:sz w:val="32"/>
          <w:szCs w:val="32"/>
          <w:lang w:val="en-US" w:eastAsia="zh-CN"/>
        </w:rPr>
        <w:t>单位负责人为同一人或者存在控股、管理关系的不同单位，不得参加同一合同段投标或者未划分合同段的同一招标项目投标;</w:t>
      </w:r>
    </w:p>
    <w:p w14:paraId="640DD0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6）法律、行政法规规定的其他条件：根据财政部文件财库〔2016〕125号通知，对列入失信被执行人、重大税收违法案件当事人名单、政府采购严重违法失信行为记录名单且还在执行期的供应商，拒绝其参与本次采购活动。供应商须提供通过信用中国网站（</w:t>
      </w:r>
      <w:r>
        <w:rPr>
          <w:rFonts w:hint="eastAsia" w:ascii="方正仿宋_GB2312" w:hAnsi="方正仿宋_GB2312" w:eastAsia="方正仿宋_GB2312" w:cs="方正仿宋_GB2312"/>
          <w:b w:val="0"/>
          <w:bCs w:val="0"/>
          <w:spacing w:val="0"/>
          <w:sz w:val="32"/>
          <w:szCs w:val="32"/>
          <w:lang w:val="en-US" w:eastAsia="zh-CN"/>
        </w:rPr>
        <w:fldChar w:fldCharType="begin"/>
      </w:r>
      <w:r>
        <w:rPr>
          <w:rFonts w:hint="eastAsia" w:ascii="方正仿宋_GB2312" w:hAnsi="方正仿宋_GB2312" w:eastAsia="方正仿宋_GB2312" w:cs="方正仿宋_GB2312"/>
          <w:b w:val="0"/>
          <w:bCs w:val="0"/>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b w:val="0"/>
          <w:bCs w:val="0"/>
          <w:spacing w:val="0"/>
          <w:sz w:val="32"/>
          <w:szCs w:val="32"/>
          <w:lang w:val="en-US" w:eastAsia="zh-CN"/>
        </w:rPr>
        <w:fldChar w:fldCharType="separate"/>
      </w:r>
      <w:r>
        <w:rPr>
          <w:rFonts w:hint="eastAsia" w:ascii="方正仿宋_GB2312" w:hAnsi="方正仿宋_GB2312" w:eastAsia="方正仿宋_GB2312" w:cs="方正仿宋_GB2312"/>
          <w:b w:val="0"/>
          <w:bCs w:val="0"/>
          <w:spacing w:val="0"/>
          <w:sz w:val="32"/>
          <w:szCs w:val="32"/>
          <w:lang w:val="en-US" w:eastAsia="zh-CN"/>
        </w:rPr>
        <w:t>www.creditchina.gov.cn</w:t>
      </w:r>
      <w:r>
        <w:rPr>
          <w:rFonts w:hint="eastAsia" w:ascii="方正仿宋_GB2312" w:hAnsi="方正仿宋_GB2312" w:eastAsia="方正仿宋_GB2312" w:cs="方正仿宋_GB2312"/>
          <w:b w:val="0"/>
          <w:bCs w:val="0"/>
          <w:spacing w:val="0"/>
          <w:sz w:val="32"/>
          <w:szCs w:val="32"/>
          <w:lang w:val="en-US" w:eastAsia="zh-CN"/>
        </w:rPr>
        <w:fldChar w:fldCharType="end"/>
      </w:r>
      <w:r>
        <w:rPr>
          <w:rFonts w:hint="eastAsia" w:ascii="方正仿宋_GB2312" w:hAnsi="方正仿宋_GB2312" w:eastAsia="方正仿宋_GB2312" w:cs="方正仿宋_GB2312"/>
          <w:b w:val="0"/>
          <w:bCs w:val="0"/>
          <w:spacing w:val="0"/>
          <w:sz w:val="32"/>
          <w:szCs w:val="32"/>
          <w:lang w:val="en-US" w:eastAsia="zh-CN"/>
        </w:rPr>
        <w:t>）、中国政府采购网（</w:t>
      </w:r>
      <w:r>
        <w:rPr>
          <w:rFonts w:hint="eastAsia" w:ascii="方正仿宋_GB2312" w:hAnsi="方正仿宋_GB2312" w:eastAsia="方正仿宋_GB2312" w:cs="方正仿宋_GB2312"/>
          <w:b w:val="0"/>
          <w:bCs w:val="0"/>
          <w:spacing w:val="0"/>
          <w:sz w:val="32"/>
          <w:szCs w:val="32"/>
          <w:lang w:val="en-US" w:eastAsia="zh-CN"/>
        </w:rPr>
        <w:fldChar w:fldCharType="begin"/>
      </w:r>
      <w:r>
        <w:rPr>
          <w:rFonts w:hint="eastAsia" w:ascii="方正仿宋_GB2312" w:hAnsi="方正仿宋_GB2312" w:eastAsia="方正仿宋_GB2312" w:cs="方正仿宋_GB2312"/>
          <w:b w:val="0"/>
          <w:bCs w:val="0"/>
          <w:spacing w:val="0"/>
          <w:sz w:val="32"/>
          <w:szCs w:val="32"/>
          <w:lang w:val="en-US" w:eastAsia="zh-CN"/>
        </w:rPr>
        <w:instrText xml:space="preserve"> HYPERLINK "http://www.ccgp.gov.cn/" </w:instrText>
      </w:r>
      <w:r>
        <w:rPr>
          <w:rFonts w:hint="eastAsia" w:ascii="方正仿宋_GB2312" w:hAnsi="方正仿宋_GB2312" w:eastAsia="方正仿宋_GB2312" w:cs="方正仿宋_GB2312"/>
          <w:b w:val="0"/>
          <w:bCs w:val="0"/>
          <w:spacing w:val="0"/>
          <w:sz w:val="32"/>
          <w:szCs w:val="32"/>
          <w:lang w:val="en-US" w:eastAsia="zh-CN"/>
        </w:rPr>
        <w:fldChar w:fldCharType="separate"/>
      </w:r>
      <w:r>
        <w:rPr>
          <w:rFonts w:hint="eastAsia" w:ascii="方正仿宋_GB2312" w:hAnsi="方正仿宋_GB2312" w:eastAsia="方正仿宋_GB2312" w:cs="方正仿宋_GB2312"/>
          <w:b w:val="0"/>
          <w:bCs w:val="0"/>
          <w:spacing w:val="0"/>
          <w:sz w:val="32"/>
          <w:szCs w:val="32"/>
          <w:lang w:val="en-US" w:eastAsia="zh-CN"/>
        </w:rPr>
        <w:t>www.ccgp.gov.cn</w:t>
      </w:r>
      <w:r>
        <w:rPr>
          <w:rFonts w:hint="eastAsia" w:ascii="方正仿宋_GB2312" w:hAnsi="方正仿宋_GB2312" w:eastAsia="方正仿宋_GB2312" w:cs="方正仿宋_GB2312"/>
          <w:b w:val="0"/>
          <w:bCs w:val="0"/>
          <w:spacing w:val="0"/>
          <w:sz w:val="32"/>
          <w:szCs w:val="32"/>
          <w:lang w:val="en-US" w:eastAsia="zh-CN"/>
        </w:rPr>
        <w:fldChar w:fldCharType="end"/>
      </w:r>
      <w:r>
        <w:rPr>
          <w:rFonts w:hint="eastAsia" w:ascii="方正仿宋_GB2312" w:hAnsi="方正仿宋_GB2312" w:eastAsia="方正仿宋_GB2312" w:cs="方正仿宋_GB2312"/>
          <w:b w:val="0"/>
          <w:bCs w:val="0"/>
          <w:spacing w:val="0"/>
          <w:sz w:val="32"/>
          <w:szCs w:val="32"/>
          <w:lang w:val="en-US" w:eastAsia="zh-CN"/>
        </w:rPr>
        <w:t>）查询的无失信行为信息记录的证明材料，并加盖单位鲜章。查询结果应显示供应商未被列入上述失信名单，否则其响应文件将被拒绝。</w:t>
      </w:r>
    </w:p>
    <w:p w14:paraId="43D845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（7）招投标过程中，供应商所提供的所有证件均需在有效期内且注册单位名称与供应商的名称一致，如企业名称发生变更，需提供主管部门出具的变更证明材料，否则不接受其供应商参与本次招标项目的投标。</w:t>
      </w:r>
    </w:p>
    <w:p w14:paraId="2E1E4539">
      <w:pPr>
        <w:pStyle w:val="2"/>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黑体" w:hAnsi="黑体" w:eastAsia="黑体" w:cs="黑体"/>
          <w:b/>
          <w:bCs/>
          <w:kern w:val="2"/>
          <w:sz w:val="32"/>
          <w:szCs w:val="32"/>
          <w:lang w:val="zh-CN" w:eastAsia="zh-CN"/>
        </w:rPr>
      </w:pPr>
      <w:r>
        <w:rPr>
          <w:rFonts w:hint="eastAsia" w:ascii="黑体" w:hAnsi="黑体" w:eastAsia="黑体" w:cs="黑体"/>
          <w:b/>
          <w:bCs/>
          <w:kern w:val="2"/>
          <w:sz w:val="32"/>
          <w:szCs w:val="32"/>
          <w:lang w:val="en-US" w:eastAsia="zh-CN"/>
        </w:rPr>
        <w:t>2、</w:t>
      </w:r>
      <w:r>
        <w:rPr>
          <w:rFonts w:hint="eastAsia" w:ascii="黑体" w:hAnsi="黑体" w:eastAsia="黑体" w:cs="黑体"/>
          <w:b/>
          <w:bCs/>
          <w:kern w:val="2"/>
          <w:sz w:val="32"/>
          <w:szCs w:val="32"/>
          <w:lang w:val="zh-CN" w:eastAsia="zh-CN"/>
        </w:rPr>
        <w:t>投标单位基本售后服务要求</w:t>
      </w:r>
    </w:p>
    <w:p w14:paraId="557D8F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（1）</w:t>
      </w:r>
      <w:r>
        <w:rPr>
          <w:rFonts w:hint="eastAsia" w:ascii="方正仿宋_GB2312" w:hAnsi="方正仿宋_GB2312" w:eastAsia="方正仿宋_GB2312" w:cs="方正仿宋_GB2312"/>
          <w:spacing w:val="0"/>
          <w:sz w:val="32"/>
          <w:szCs w:val="32"/>
          <w:lang w:val="en-US" w:eastAsia="zh-CN"/>
        </w:rPr>
        <w:t>配送货物需满足黔东南州民族医药研究院</w:t>
      </w:r>
      <w:r>
        <w:rPr>
          <w:rFonts w:hint="eastAsia" w:ascii="仿宋_GB2312" w:hAnsi="仿宋_GB2312" w:eastAsia="仿宋_GB2312" w:cs="仿宋_GB2312"/>
          <w:sz w:val="32"/>
          <w:szCs w:val="32"/>
          <w:lang w:eastAsia="zh-CN"/>
        </w:rPr>
        <w:t>黔东南州民族医药研究院一次性低值医用耗材等货物供应采购项目</w:t>
      </w:r>
      <w:r>
        <w:rPr>
          <w:rFonts w:hint="eastAsia" w:ascii="方正仿宋_GB2312" w:hAnsi="方正仿宋_GB2312" w:eastAsia="方正仿宋_GB2312" w:cs="方正仿宋_GB2312"/>
          <w:spacing w:val="0"/>
          <w:sz w:val="32"/>
          <w:szCs w:val="32"/>
          <w:lang w:val="en-US" w:eastAsia="zh-CN"/>
        </w:rPr>
        <w:t>的需求条件，详见招标文件附件五《一次性低值医用耗材目录》</w:t>
      </w:r>
      <w:r>
        <w:rPr>
          <w:rFonts w:hint="eastAsia" w:ascii="仿宋_GB2312" w:hAnsi="仿宋_GB2312" w:eastAsia="仿宋_GB2312" w:cs="仿宋_GB2312"/>
          <w:sz w:val="32"/>
          <w:szCs w:val="36"/>
          <w:lang w:val="en-US" w:eastAsia="zh-CN"/>
        </w:rPr>
        <w:t>。</w:t>
      </w:r>
    </w:p>
    <w:p w14:paraId="779D9C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spacing w:val="0"/>
          <w:sz w:val="32"/>
          <w:szCs w:val="32"/>
          <w:lang w:val="en-US" w:eastAsia="zh-CN"/>
        </w:rPr>
        <w:t>（2）供应商须确保所提供的产品质量、规格、性能等完全符合招标文件及详见招标文件附件五中的技术要求，且所有产品须为符合国家相关质量标准和行业规范。如发现产品质量不达标或与招标要求不符，采购方有权拒收并终止合同，由此造成的损失由供应商承担。</w:t>
      </w:r>
    </w:p>
    <w:p w14:paraId="7BF303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zh-CN" w:eastAsia="zh-CN"/>
        </w:rPr>
      </w:pPr>
      <w:r>
        <w:rPr>
          <w:rFonts w:hint="eastAsia" w:ascii="方正仿宋_GB2312" w:hAnsi="方正仿宋_GB2312" w:eastAsia="方正仿宋_GB2312" w:cs="方正仿宋_GB2312"/>
          <w:b w:val="0"/>
          <w:bCs w:val="0"/>
          <w:spacing w:val="0"/>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应具备完善的供应与售后服务保障体系。接到采购方电话通知后，须在三个工作日内将货物送达（特殊情况另行协商）。配送及运输费用由投标单位或其委托的配送企业承担，并负责搬运入库。货物交接时，配送人员须与我院库管员当面办理交接手续；若出现物品包装破损或质量问题，供应商须无条件予以更换。产品批间差必须严格符合产品说明书要求。</w:t>
      </w:r>
    </w:p>
    <w:p w14:paraId="63B986C9">
      <w:pPr>
        <w:pStyle w:val="2"/>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黑体" w:hAnsi="黑体" w:eastAsia="黑体" w:cs="黑体"/>
          <w:b/>
          <w:bCs/>
          <w:kern w:val="2"/>
          <w:sz w:val="32"/>
          <w:szCs w:val="32"/>
          <w:lang w:val="en-US" w:eastAsia="zh-CN"/>
        </w:rPr>
      </w:pPr>
      <w:r>
        <w:rPr>
          <w:rFonts w:hint="eastAsia" w:ascii="黑体" w:hAnsi="黑体" w:eastAsia="黑体" w:cs="黑体"/>
          <w:b/>
          <w:bCs/>
          <w:kern w:val="2"/>
          <w:sz w:val="32"/>
          <w:szCs w:val="32"/>
          <w:lang w:val="en-US" w:eastAsia="zh-CN"/>
        </w:rPr>
        <w:t>3、最高限价：</w:t>
      </w:r>
    </w:p>
    <w:p w14:paraId="639C12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（1）详见招标文件附件五《一次性低值医用耗材目录》，超出限价的报价将视为无效投标。</w:t>
      </w:r>
    </w:p>
    <w:p w14:paraId="41071D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2）对于已在本院供货的产品，投标价不得高于现行供货价格;其他产品不得高于本地区市场售价。本次中标价格将作为合同执行价格，若该产品在省内任何医院出现价格调整且低于本院采购价时，投标人应第一时间提供最新调价单并及时告知本院更新数据库。为防止恶意扰乱招标程序，投标人报价明显低于成本价的，也将视为无效投标处理。</w:t>
      </w:r>
    </w:p>
    <w:p w14:paraId="0B7BAF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val="0"/>
          <w:bCs w:val="0"/>
          <w:spacing w:val="0"/>
          <w:sz w:val="32"/>
          <w:szCs w:val="32"/>
          <w:lang w:val="en-US" w:eastAsia="zh-CN"/>
        </w:rPr>
        <w:t>投标单位如违反上述任一条款，将被取消投标资格或终止合同。</w:t>
      </w:r>
    </w:p>
    <w:p w14:paraId="39CF74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val="0"/>
          <w:bCs w:val="0"/>
          <w:spacing w:val="0"/>
          <w:sz w:val="32"/>
          <w:szCs w:val="32"/>
          <w:lang w:val="zh-CN"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6D4666"/>
    <w:rsid w:val="03E13EA2"/>
    <w:rsid w:val="083D09B1"/>
    <w:rsid w:val="1BD26F14"/>
    <w:rsid w:val="1FAD7F84"/>
    <w:rsid w:val="538A60A8"/>
    <w:rsid w:val="583C426F"/>
    <w:rsid w:val="65C9051C"/>
    <w:rsid w:val="685B175F"/>
    <w:rsid w:val="6C6D4666"/>
    <w:rsid w:val="72667192"/>
    <w:rsid w:val="74CD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1193</Words>
  <Characters>1236</Characters>
  <Lines>0</Lines>
  <Paragraphs>0</Paragraphs>
  <TotalTime>10</TotalTime>
  <ScaleCrop>false</ScaleCrop>
  <LinksUpToDate>false</LinksUpToDate>
  <CharactersWithSpaces>1236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2026-08-04T08:56:00Z</dcterms:created>
  <dc:creator>易明琴</dc:creator>
  <cp:lastModifiedBy>这么多表情包用那个</cp:lastModifiedBy>
  <dcterms:modified xsi:type="dcterms:W3CDTF">2026-08-31T02:58:25Z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B38EC11FFB6F470D8AAA81FFF0D314EB_11</vt:lpwstr>
  </property>
  <property fmtid="{D5CDD505-2E9C-101B-9397-08002B2CF9AE}" pid="4" name="KSOTemplateDocerSaveRecord">
    <vt:lpwstr>eyJoZGlkIjoiOTFiOWNhNDE5MDUxMGE3MWUwZjA3MjBmNWI2MTk3MzIiLCJ1c2VySWQiOiI0MzYwNTE2NDYifQ==</vt:lpwstr>
  </property>
</Properties>
</file>